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656F3" w14:textId="65B7A3D4" w:rsidR="0074347F" w:rsidRPr="00905EB7" w:rsidRDefault="002D03CB" w:rsidP="0074347F">
      <w:pPr>
        <w:rPr>
          <w:rStyle w:val="Heading20"/>
          <w:rFonts w:ascii="Arial" w:eastAsia="Times New Roman" w:hAnsi="Arial" w:cs="Arial"/>
          <w:sz w:val="24"/>
          <w:szCs w:val="24"/>
          <w:lang w:eastAsia="en-GB"/>
        </w:rPr>
      </w:pPr>
      <w:r w:rsidRPr="00905EB7">
        <w:rPr>
          <w:rStyle w:val="Heading20"/>
          <w:rFonts w:ascii="Arial" w:eastAsia="Times New Roman" w:hAnsi="Arial" w:cs="Arial"/>
          <w:sz w:val="24"/>
          <w:szCs w:val="24"/>
          <w:lang w:eastAsia="en-GB"/>
        </w:rPr>
        <w:t xml:space="preserve">East Hagbourne </w:t>
      </w:r>
      <w:r w:rsidR="00E972F4" w:rsidRPr="00905EB7">
        <w:rPr>
          <w:rStyle w:val="Heading20"/>
          <w:rFonts w:ascii="Arial" w:eastAsia="Times New Roman" w:hAnsi="Arial" w:cs="Arial"/>
          <w:sz w:val="24"/>
          <w:szCs w:val="24"/>
          <w:lang w:eastAsia="en-GB"/>
        </w:rPr>
        <w:t>Parish Neighbourhood Development Plan – Post Adoption Statement</w:t>
      </w:r>
      <w:r w:rsidR="008A36C0" w:rsidRPr="00905EB7">
        <w:rPr>
          <w:rStyle w:val="Heading20"/>
          <w:rFonts w:ascii="Arial" w:eastAsia="Times New Roman" w:hAnsi="Arial" w:cs="Arial"/>
          <w:sz w:val="24"/>
          <w:szCs w:val="24"/>
          <w:lang w:eastAsia="en-GB"/>
        </w:rPr>
        <w:t xml:space="preserve"> in accordance with the Environmental Assessment of Plans and Programmes Regulations 2004 and European Directive 2001/42/EC</w:t>
      </w:r>
    </w:p>
    <w:p w14:paraId="157280D8" w14:textId="77777777" w:rsidR="0074347F" w:rsidRPr="00905EB7" w:rsidRDefault="0074347F" w:rsidP="0074347F">
      <w:pPr>
        <w:rPr>
          <w:rStyle w:val="Heading20"/>
          <w:rFonts w:ascii="Arial" w:eastAsia="Times New Roman" w:hAnsi="Arial" w:cs="Arial"/>
          <w:sz w:val="24"/>
          <w:szCs w:val="24"/>
          <w:lang w:eastAsia="en-GB"/>
        </w:rPr>
      </w:pPr>
    </w:p>
    <w:p w14:paraId="00AC84F5" w14:textId="76735DE8" w:rsidR="00142879" w:rsidRPr="00905EB7" w:rsidRDefault="00C914F8" w:rsidP="0074347F">
      <w:pPr>
        <w:rPr>
          <w:rStyle w:val="Heading40"/>
          <w:rFonts w:ascii="Arial" w:hAnsi="Arial" w:cs="Arial"/>
          <w:sz w:val="24"/>
          <w:szCs w:val="24"/>
        </w:rPr>
      </w:pPr>
      <w:r>
        <w:rPr>
          <w:rStyle w:val="Heading40"/>
          <w:rFonts w:ascii="Arial" w:hAnsi="Arial" w:cs="Arial"/>
          <w:sz w:val="24"/>
          <w:szCs w:val="24"/>
        </w:rPr>
        <w:t>04 APRIL</w:t>
      </w:r>
      <w:r w:rsidR="00905EB7" w:rsidRPr="00905EB7">
        <w:rPr>
          <w:rStyle w:val="Heading40"/>
          <w:rFonts w:ascii="Arial" w:hAnsi="Arial" w:cs="Arial"/>
          <w:sz w:val="24"/>
          <w:szCs w:val="24"/>
        </w:rPr>
        <w:t xml:space="preserve"> 202</w:t>
      </w:r>
      <w:r w:rsidR="00B4499C">
        <w:rPr>
          <w:rStyle w:val="Heading40"/>
          <w:rFonts w:ascii="Arial" w:hAnsi="Arial" w:cs="Arial"/>
          <w:sz w:val="24"/>
          <w:szCs w:val="24"/>
        </w:rPr>
        <w:t>3</w:t>
      </w:r>
      <w:r w:rsidR="00905EB7" w:rsidRPr="00905EB7">
        <w:rPr>
          <w:rStyle w:val="Heading40"/>
          <w:rFonts w:ascii="Arial" w:hAnsi="Arial" w:cs="Arial"/>
          <w:sz w:val="24"/>
          <w:szCs w:val="24"/>
        </w:rPr>
        <w:t xml:space="preserve"> </w:t>
      </w:r>
    </w:p>
    <w:p w14:paraId="0E81D44A" w14:textId="77777777" w:rsidR="0074347F" w:rsidRPr="00905EB7" w:rsidRDefault="0074347F" w:rsidP="0074347F">
      <w:pPr>
        <w:rPr>
          <w:rStyle w:val="Heading20"/>
          <w:rFonts w:ascii="Arial" w:eastAsia="Times New Roman" w:hAnsi="Arial" w:cs="Arial"/>
          <w:sz w:val="24"/>
          <w:szCs w:val="24"/>
          <w:lang w:eastAsia="en-GB"/>
        </w:rPr>
      </w:pPr>
    </w:p>
    <w:p w14:paraId="734EDBAC" w14:textId="14D29A81" w:rsidR="00EC5C2C" w:rsidRPr="00905EB7" w:rsidRDefault="00243E50" w:rsidP="00243E50">
      <w:pPr>
        <w:pStyle w:val="AFWBody"/>
        <w:rPr>
          <w:rFonts w:cs="Arial"/>
          <w:b/>
          <w:color w:val="auto"/>
          <w:sz w:val="24"/>
          <w:szCs w:val="24"/>
          <w:lang w:eastAsia="en-GB"/>
        </w:rPr>
      </w:pPr>
      <w:r w:rsidRPr="00905EB7">
        <w:rPr>
          <w:rFonts w:cs="Arial"/>
          <w:b/>
          <w:color w:val="auto"/>
          <w:sz w:val="24"/>
          <w:szCs w:val="24"/>
          <w:lang w:eastAsia="en-GB"/>
        </w:rPr>
        <w:t>1</w:t>
      </w:r>
      <w:r w:rsidRPr="00905EB7">
        <w:rPr>
          <w:rFonts w:cs="Arial"/>
          <w:b/>
          <w:color w:val="auto"/>
          <w:sz w:val="24"/>
          <w:szCs w:val="24"/>
          <w:lang w:eastAsia="en-GB"/>
        </w:rPr>
        <w:tab/>
      </w:r>
      <w:r w:rsidR="0074347F" w:rsidRPr="00905EB7">
        <w:rPr>
          <w:rFonts w:cs="Arial"/>
          <w:b/>
          <w:color w:val="auto"/>
          <w:sz w:val="24"/>
          <w:szCs w:val="24"/>
          <w:lang w:eastAsia="en-GB"/>
        </w:rPr>
        <w:t>Introduction</w:t>
      </w:r>
    </w:p>
    <w:p w14:paraId="2C5AFEBE" w14:textId="17BD0A64" w:rsidR="00A036A1" w:rsidRPr="00905EB7" w:rsidRDefault="00243E50" w:rsidP="00243E50">
      <w:pPr>
        <w:pStyle w:val="AFWBody"/>
        <w:rPr>
          <w:rFonts w:cs="Arial"/>
          <w:b/>
          <w:color w:val="auto"/>
          <w:sz w:val="24"/>
          <w:szCs w:val="24"/>
          <w:lang w:eastAsia="en-GB"/>
        </w:rPr>
      </w:pPr>
      <w:r w:rsidRPr="00905EB7">
        <w:rPr>
          <w:rFonts w:cs="Arial"/>
          <w:b/>
          <w:color w:val="auto"/>
          <w:sz w:val="24"/>
          <w:szCs w:val="24"/>
          <w:lang w:eastAsia="en-GB"/>
        </w:rPr>
        <w:t>1.1</w:t>
      </w:r>
      <w:r w:rsidRPr="00905EB7">
        <w:rPr>
          <w:rFonts w:cs="Arial"/>
          <w:b/>
          <w:color w:val="auto"/>
          <w:sz w:val="24"/>
          <w:szCs w:val="24"/>
          <w:lang w:eastAsia="en-GB"/>
        </w:rPr>
        <w:tab/>
      </w:r>
      <w:r w:rsidR="00A036A1" w:rsidRPr="00905EB7">
        <w:rPr>
          <w:rFonts w:cs="Arial"/>
          <w:b/>
          <w:color w:val="auto"/>
          <w:sz w:val="24"/>
          <w:szCs w:val="24"/>
          <w:lang w:eastAsia="en-GB"/>
        </w:rPr>
        <w:t>The Neighbourhood Development Plan</w:t>
      </w:r>
    </w:p>
    <w:p w14:paraId="0F86015F" w14:textId="6A755593" w:rsidR="007E469B" w:rsidRPr="00905EB7" w:rsidRDefault="00E972F4" w:rsidP="00A66C02">
      <w:pPr>
        <w:pStyle w:val="AFWIntroBW"/>
        <w:rPr>
          <w:rFonts w:cs="Arial"/>
          <w:szCs w:val="24"/>
        </w:rPr>
      </w:pPr>
      <w:r w:rsidRPr="00905EB7">
        <w:rPr>
          <w:rFonts w:cs="Arial"/>
          <w:szCs w:val="24"/>
        </w:rPr>
        <w:t xml:space="preserve">The </w:t>
      </w:r>
      <w:r w:rsidR="002D03CB" w:rsidRPr="00905EB7">
        <w:rPr>
          <w:rFonts w:cs="Arial"/>
          <w:szCs w:val="24"/>
        </w:rPr>
        <w:t>East Hagbourne</w:t>
      </w:r>
      <w:r w:rsidR="00E149F9" w:rsidRPr="00905EB7">
        <w:rPr>
          <w:rFonts w:cs="Arial"/>
          <w:szCs w:val="24"/>
        </w:rPr>
        <w:t xml:space="preserve"> </w:t>
      </w:r>
      <w:r w:rsidRPr="00905EB7">
        <w:rPr>
          <w:rFonts w:cs="Arial"/>
          <w:szCs w:val="24"/>
        </w:rPr>
        <w:t xml:space="preserve">Neighbourhood Development Plan (NDP) was ‘made’ </w:t>
      </w:r>
      <w:r w:rsidR="00C02EEB" w:rsidRPr="00905EB7">
        <w:rPr>
          <w:rFonts w:cs="Arial"/>
          <w:szCs w:val="24"/>
        </w:rPr>
        <w:t xml:space="preserve">(adopted) by South Oxfordshire District Council </w:t>
      </w:r>
      <w:r w:rsidR="007D2DF7" w:rsidRPr="00905EB7">
        <w:rPr>
          <w:rFonts w:cs="Arial"/>
          <w:szCs w:val="24"/>
        </w:rPr>
        <w:t xml:space="preserve">(the District Council) </w:t>
      </w:r>
      <w:r w:rsidRPr="00905EB7">
        <w:rPr>
          <w:rFonts w:cs="Arial"/>
          <w:szCs w:val="24"/>
        </w:rPr>
        <w:t xml:space="preserve">on </w:t>
      </w:r>
      <w:r w:rsidR="002D03CB" w:rsidRPr="00905EB7">
        <w:rPr>
          <w:rFonts w:cs="Arial"/>
          <w:szCs w:val="24"/>
        </w:rPr>
        <w:t>11th April 2019</w:t>
      </w:r>
      <w:r w:rsidR="00E149F9" w:rsidRPr="00905EB7">
        <w:rPr>
          <w:rFonts w:cs="Arial"/>
          <w:szCs w:val="24"/>
        </w:rPr>
        <w:t xml:space="preserve"> </w:t>
      </w:r>
      <w:r w:rsidRPr="00905EB7">
        <w:rPr>
          <w:rFonts w:cs="Arial"/>
          <w:szCs w:val="24"/>
        </w:rPr>
        <w:t xml:space="preserve">and now forms part of the </w:t>
      </w:r>
      <w:r w:rsidR="00E149F9" w:rsidRPr="00905EB7">
        <w:rPr>
          <w:rFonts w:cs="Arial"/>
          <w:szCs w:val="24"/>
        </w:rPr>
        <w:t xml:space="preserve">South Oxfordshire </w:t>
      </w:r>
      <w:r w:rsidRPr="00905EB7">
        <w:rPr>
          <w:rFonts w:cs="Arial"/>
          <w:szCs w:val="24"/>
        </w:rPr>
        <w:t>Development Plan for the determination of planning applications in the Parish.</w:t>
      </w:r>
    </w:p>
    <w:p w14:paraId="22EF5A8D" w14:textId="50303CB4" w:rsidR="000653D1" w:rsidRPr="00905EB7" w:rsidRDefault="000653D1" w:rsidP="000653D1">
      <w:pPr>
        <w:pStyle w:val="AFWIntroBW"/>
        <w:rPr>
          <w:rFonts w:cs="Arial"/>
          <w:szCs w:val="24"/>
        </w:rPr>
      </w:pPr>
      <w:r w:rsidRPr="00905EB7">
        <w:rPr>
          <w:rFonts w:cs="Arial"/>
          <w:szCs w:val="24"/>
        </w:rPr>
        <w:t>In preparing the NDP</w:t>
      </w:r>
      <w:r w:rsidR="009D2895" w:rsidRPr="00905EB7">
        <w:rPr>
          <w:rFonts w:cs="Arial"/>
          <w:szCs w:val="24"/>
        </w:rPr>
        <w:t>,</w:t>
      </w:r>
      <w:r w:rsidRPr="00905EB7">
        <w:rPr>
          <w:rFonts w:cs="Arial"/>
          <w:szCs w:val="24"/>
        </w:rPr>
        <w:t xml:space="preserve"> account was taken of the requirements of European Union Directive 2001/42/EC on the assessment of the effects of certain plans and programmes on the environment, referred to as the Strategic Environmental Assessment (SEA) Directive and its transposing regulations</w:t>
      </w:r>
      <w:r w:rsidR="00E149F9" w:rsidRPr="00905EB7">
        <w:rPr>
          <w:rFonts w:cs="Arial"/>
          <w:szCs w:val="24"/>
        </w:rPr>
        <w:t>,</w:t>
      </w:r>
      <w:r w:rsidRPr="00905EB7">
        <w:rPr>
          <w:rFonts w:cs="Arial"/>
          <w:szCs w:val="24"/>
        </w:rPr>
        <w:t xml:space="preserve"> the Environmental Assessment of Plans and Programmes Regulations 2004 (the SEA Regulations). </w:t>
      </w:r>
    </w:p>
    <w:p w14:paraId="5371A02C" w14:textId="77777777" w:rsidR="000653D1" w:rsidRPr="00905EB7" w:rsidRDefault="000653D1" w:rsidP="000653D1">
      <w:pPr>
        <w:pStyle w:val="AFWIntroBW"/>
        <w:rPr>
          <w:rFonts w:cs="Arial"/>
          <w:szCs w:val="24"/>
        </w:rPr>
      </w:pPr>
      <w:r w:rsidRPr="00905EB7">
        <w:rPr>
          <w:rFonts w:cs="Arial"/>
          <w:szCs w:val="24"/>
        </w:rPr>
        <w:t xml:space="preserve">The SEA Directive and transposing regulations seek to provide a high level of protection of the environment by integrating environmental considerations into the process of preparing certain plans and programmes. The aim of the Directive is </w:t>
      </w:r>
      <w:r w:rsidRPr="00905EB7">
        <w:rPr>
          <w:rFonts w:cs="Arial"/>
          <w:i/>
          <w:szCs w:val="24"/>
        </w:rPr>
        <w:t>“to contribute to the integration of environmental considerations into the preparation and adoption of plans and programmes with a view to promoting sustainable development, by ensuing that, in accordance with this Directive, an environmental assessment is carried out of certain plans and programmes which are likely to have significant effects on the environment</w:t>
      </w:r>
      <w:r w:rsidRPr="00905EB7">
        <w:rPr>
          <w:rFonts w:cs="Arial"/>
          <w:szCs w:val="24"/>
        </w:rPr>
        <w:t>.”</w:t>
      </w:r>
    </w:p>
    <w:p w14:paraId="0A6240B3" w14:textId="39BF5873" w:rsidR="00E149F9" w:rsidRPr="00905EB7" w:rsidRDefault="00E149F9" w:rsidP="00E149F9">
      <w:pPr>
        <w:pStyle w:val="AFWBody"/>
        <w:rPr>
          <w:rFonts w:cs="Arial"/>
          <w:color w:val="auto"/>
          <w:sz w:val="24"/>
          <w:szCs w:val="24"/>
        </w:rPr>
      </w:pPr>
      <w:r w:rsidRPr="00905EB7">
        <w:rPr>
          <w:rFonts w:cs="Arial"/>
          <w:color w:val="auto"/>
          <w:sz w:val="24"/>
          <w:szCs w:val="24"/>
        </w:rPr>
        <w:t>In developing the NDP, proportionate, robust evidence should support the choices made and the approach take</w:t>
      </w:r>
      <w:r w:rsidR="009A62A2" w:rsidRPr="00905EB7">
        <w:rPr>
          <w:rFonts w:cs="Arial"/>
          <w:color w:val="auto"/>
          <w:sz w:val="24"/>
          <w:szCs w:val="24"/>
        </w:rPr>
        <w:t>n. In terms of SEA</w:t>
      </w:r>
      <w:r w:rsidR="00532931" w:rsidRPr="00905EB7">
        <w:rPr>
          <w:rFonts w:cs="Arial"/>
          <w:color w:val="auto"/>
          <w:sz w:val="24"/>
          <w:szCs w:val="24"/>
        </w:rPr>
        <w:t xml:space="preserve"> and Sustainability Appraisal (SA)</w:t>
      </w:r>
      <w:r w:rsidR="009A62A2" w:rsidRPr="00905EB7">
        <w:rPr>
          <w:rFonts w:cs="Arial"/>
          <w:color w:val="auto"/>
          <w:sz w:val="24"/>
          <w:szCs w:val="24"/>
        </w:rPr>
        <w:t xml:space="preserve">, the </w:t>
      </w:r>
      <w:r w:rsidRPr="00905EB7">
        <w:rPr>
          <w:rFonts w:cs="Arial"/>
          <w:color w:val="auto"/>
          <w:sz w:val="24"/>
          <w:szCs w:val="24"/>
        </w:rPr>
        <w:t>P</w:t>
      </w:r>
      <w:r w:rsidR="009A62A2" w:rsidRPr="00905EB7">
        <w:rPr>
          <w:rFonts w:cs="Arial"/>
          <w:color w:val="auto"/>
          <w:sz w:val="24"/>
          <w:szCs w:val="24"/>
        </w:rPr>
        <w:t xml:space="preserve">lanning Practice </w:t>
      </w:r>
      <w:r w:rsidRPr="00905EB7">
        <w:rPr>
          <w:rFonts w:cs="Arial"/>
          <w:color w:val="auto"/>
          <w:sz w:val="24"/>
          <w:szCs w:val="24"/>
        </w:rPr>
        <w:t>G</w:t>
      </w:r>
      <w:r w:rsidR="009A62A2" w:rsidRPr="00905EB7">
        <w:rPr>
          <w:rFonts w:cs="Arial"/>
          <w:color w:val="auto"/>
          <w:sz w:val="24"/>
          <w:szCs w:val="24"/>
        </w:rPr>
        <w:t>uidance</w:t>
      </w:r>
      <w:r w:rsidRPr="00905EB7">
        <w:rPr>
          <w:rFonts w:cs="Arial"/>
          <w:color w:val="auto"/>
          <w:sz w:val="24"/>
          <w:szCs w:val="24"/>
        </w:rPr>
        <w:t xml:space="preserve"> </w:t>
      </w:r>
      <w:r w:rsidR="009A62A2" w:rsidRPr="00905EB7">
        <w:rPr>
          <w:rFonts w:cs="Arial"/>
          <w:color w:val="auto"/>
          <w:sz w:val="24"/>
          <w:szCs w:val="24"/>
        </w:rPr>
        <w:t xml:space="preserve">(PPG) </w:t>
      </w:r>
      <w:r w:rsidRPr="00905EB7">
        <w:rPr>
          <w:rFonts w:cs="Arial"/>
          <w:color w:val="auto"/>
          <w:sz w:val="24"/>
          <w:szCs w:val="24"/>
        </w:rPr>
        <w:t xml:space="preserve">(paragraph 26, SEA and </w:t>
      </w:r>
      <w:r w:rsidR="00532931" w:rsidRPr="00905EB7">
        <w:rPr>
          <w:rFonts w:cs="Arial"/>
          <w:color w:val="auto"/>
          <w:sz w:val="24"/>
          <w:szCs w:val="24"/>
        </w:rPr>
        <w:t>SA</w:t>
      </w:r>
      <w:r w:rsidRPr="00905EB7">
        <w:rPr>
          <w:rFonts w:cs="Arial"/>
          <w:color w:val="auto"/>
          <w:sz w:val="24"/>
          <w:szCs w:val="24"/>
        </w:rPr>
        <w:t>) states:</w:t>
      </w:r>
    </w:p>
    <w:p w14:paraId="5DE57220" w14:textId="5EAE4214" w:rsidR="00E149F9" w:rsidRPr="00905EB7" w:rsidRDefault="00E149F9" w:rsidP="00E149F9">
      <w:pPr>
        <w:pStyle w:val="AFWBody"/>
        <w:rPr>
          <w:rFonts w:cs="Arial"/>
          <w:color w:val="auto"/>
          <w:sz w:val="24"/>
          <w:szCs w:val="24"/>
        </w:rPr>
      </w:pPr>
      <w:r w:rsidRPr="00905EB7">
        <w:rPr>
          <w:rFonts w:cs="Arial"/>
          <w:color w:val="auto"/>
          <w:sz w:val="24"/>
          <w:szCs w:val="24"/>
        </w:rPr>
        <w:t>“</w:t>
      </w:r>
      <w:r w:rsidRPr="00905EB7">
        <w:rPr>
          <w:rFonts w:cs="Arial"/>
          <w:i/>
          <w:color w:val="auto"/>
          <w:sz w:val="24"/>
          <w:szCs w:val="24"/>
        </w:rPr>
        <w:t>There is no legal requirement for a neighbourhood plan to have a sustainability appraisal as set out in section 19 of the Planning and Compulsory Purchase Act 2004. However, a qualifying body must demonstrate how its plan or order will contribute to achieving sustainable development. A sustainability appraisal may be a useful approach for doing this</w:t>
      </w:r>
      <w:r w:rsidRPr="00905EB7">
        <w:rPr>
          <w:rFonts w:cs="Arial"/>
          <w:color w:val="auto"/>
          <w:sz w:val="24"/>
          <w:szCs w:val="24"/>
        </w:rPr>
        <w:t>.”</w:t>
      </w:r>
    </w:p>
    <w:p w14:paraId="743A336B" w14:textId="2CFE726B" w:rsidR="00E149F9" w:rsidRPr="00905EB7" w:rsidRDefault="00E149F9" w:rsidP="007950FF">
      <w:pPr>
        <w:pStyle w:val="AFWBody"/>
        <w:rPr>
          <w:rFonts w:cs="Arial"/>
          <w:color w:val="auto"/>
          <w:sz w:val="24"/>
          <w:szCs w:val="24"/>
        </w:rPr>
      </w:pPr>
      <w:r w:rsidRPr="00905EB7">
        <w:rPr>
          <w:rFonts w:cs="Arial"/>
          <w:color w:val="auto"/>
          <w:sz w:val="24"/>
          <w:szCs w:val="24"/>
        </w:rPr>
        <w:t>Paragraph 27</w:t>
      </w:r>
      <w:r w:rsidR="00107CF2" w:rsidRPr="00905EB7">
        <w:rPr>
          <w:rFonts w:cs="Arial"/>
          <w:color w:val="auto"/>
          <w:sz w:val="24"/>
          <w:szCs w:val="24"/>
        </w:rPr>
        <w:t>, SEA and SA</w:t>
      </w:r>
      <w:r w:rsidRPr="00905EB7">
        <w:rPr>
          <w:rFonts w:cs="Arial"/>
          <w:color w:val="auto"/>
          <w:sz w:val="24"/>
          <w:szCs w:val="24"/>
        </w:rPr>
        <w:t xml:space="preserve"> of the PPG continues</w:t>
      </w:r>
      <w:r w:rsidR="007950FF" w:rsidRPr="00905EB7">
        <w:rPr>
          <w:rFonts w:cs="Arial"/>
          <w:color w:val="auto"/>
          <w:sz w:val="24"/>
          <w:szCs w:val="24"/>
        </w:rPr>
        <w:t>:</w:t>
      </w:r>
    </w:p>
    <w:p w14:paraId="7C285E34" w14:textId="0A0266BF" w:rsidR="007950FF" w:rsidRPr="00905EB7" w:rsidRDefault="007950FF" w:rsidP="007950FF">
      <w:pPr>
        <w:pStyle w:val="AFWBody"/>
        <w:rPr>
          <w:rFonts w:cs="Arial"/>
          <w:color w:val="auto"/>
          <w:sz w:val="24"/>
          <w:szCs w:val="24"/>
        </w:rPr>
      </w:pPr>
      <w:r w:rsidRPr="00905EB7">
        <w:rPr>
          <w:rFonts w:cs="Arial"/>
          <w:color w:val="auto"/>
          <w:sz w:val="24"/>
          <w:szCs w:val="24"/>
        </w:rPr>
        <w:t>“</w:t>
      </w:r>
      <w:r w:rsidRPr="00905EB7">
        <w:rPr>
          <w:rFonts w:cs="Arial"/>
          <w:i/>
          <w:color w:val="auto"/>
          <w:sz w:val="24"/>
          <w:szCs w:val="24"/>
        </w:rPr>
        <w:t>In some limited circumstances, where a neighbourhood plan is likely to have significant environmental effects, it may require a strategic environmental assessment. Draft neighbourhood plan proposals should be assessed to determine whether the plan is likely to have significant environmental effects</w:t>
      </w:r>
      <w:r w:rsidRPr="00905EB7">
        <w:rPr>
          <w:rFonts w:cs="Arial"/>
          <w:color w:val="auto"/>
          <w:sz w:val="24"/>
          <w:szCs w:val="24"/>
        </w:rPr>
        <w:t>.”</w:t>
      </w:r>
    </w:p>
    <w:p w14:paraId="491AA6BA" w14:textId="24101BC5" w:rsidR="000653D1" w:rsidRPr="00905EB7" w:rsidRDefault="007950FF" w:rsidP="00E149F9">
      <w:pPr>
        <w:pStyle w:val="AFWBody"/>
        <w:rPr>
          <w:rFonts w:cs="Arial"/>
          <w:color w:val="auto"/>
          <w:sz w:val="24"/>
          <w:szCs w:val="24"/>
        </w:rPr>
      </w:pPr>
      <w:r w:rsidRPr="00905EB7">
        <w:rPr>
          <w:rFonts w:cs="Arial"/>
          <w:color w:val="auto"/>
          <w:sz w:val="24"/>
          <w:szCs w:val="24"/>
        </w:rPr>
        <w:t>Consistent with this guidance, t</w:t>
      </w:r>
      <w:r w:rsidR="000653D1" w:rsidRPr="00905EB7">
        <w:rPr>
          <w:rFonts w:cs="Arial"/>
          <w:color w:val="auto"/>
          <w:sz w:val="24"/>
          <w:szCs w:val="24"/>
        </w:rPr>
        <w:t xml:space="preserve">he District Council </w:t>
      </w:r>
      <w:r w:rsidR="00E149F9" w:rsidRPr="00905EB7">
        <w:rPr>
          <w:rFonts w:cs="Arial"/>
          <w:color w:val="auto"/>
          <w:sz w:val="24"/>
          <w:szCs w:val="24"/>
        </w:rPr>
        <w:t>completed a SEA Screening Opinion (</w:t>
      </w:r>
      <w:r w:rsidR="007138B2" w:rsidRPr="00905EB7">
        <w:rPr>
          <w:rFonts w:cs="Arial"/>
          <w:color w:val="auto"/>
          <w:sz w:val="24"/>
          <w:szCs w:val="24"/>
        </w:rPr>
        <w:t>8 June 2016</w:t>
      </w:r>
      <w:r w:rsidR="00E149F9" w:rsidRPr="00905EB7">
        <w:rPr>
          <w:rFonts w:cs="Arial"/>
          <w:color w:val="auto"/>
          <w:sz w:val="24"/>
          <w:szCs w:val="24"/>
        </w:rPr>
        <w:t>)</w:t>
      </w:r>
      <w:r w:rsidR="007138B2" w:rsidRPr="00905EB7">
        <w:rPr>
          <w:rFonts w:cs="Arial"/>
          <w:color w:val="auto"/>
          <w:sz w:val="24"/>
          <w:szCs w:val="24"/>
        </w:rPr>
        <w:t xml:space="preserve">. This </w:t>
      </w:r>
      <w:r w:rsidR="000653D1" w:rsidRPr="00905EB7">
        <w:rPr>
          <w:rFonts w:cs="Arial"/>
          <w:color w:val="auto"/>
          <w:sz w:val="24"/>
          <w:szCs w:val="24"/>
        </w:rPr>
        <w:t>concluded that the NDP</w:t>
      </w:r>
      <w:r w:rsidR="007138B2" w:rsidRPr="00905EB7">
        <w:rPr>
          <w:rFonts w:cs="Arial"/>
          <w:color w:val="auto"/>
          <w:sz w:val="24"/>
          <w:szCs w:val="24"/>
        </w:rPr>
        <w:t xml:space="preserve">, as then proposed, </w:t>
      </w:r>
      <w:r w:rsidR="000653D1" w:rsidRPr="00905EB7">
        <w:rPr>
          <w:rFonts w:cs="Arial"/>
          <w:color w:val="auto"/>
          <w:sz w:val="24"/>
          <w:szCs w:val="24"/>
        </w:rPr>
        <w:t xml:space="preserve">was </w:t>
      </w:r>
      <w:r w:rsidR="007138B2" w:rsidRPr="00905EB7">
        <w:rPr>
          <w:rFonts w:cs="Arial"/>
          <w:color w:val="auto"/>
          <w:sz w:val="24"/>
          <w:szCs w:val="24"/>
        </w:rPr>
        <w:t>un</w:t>
      </w:r>
      <w:r w:rsidR="000653D1" w:rsidRPr="00905EB7">
        <w:rPr>
          <w:rFonts w:cs="Arial"/>
          <w:color w:val="auto"/>
          <w:sz w:val="24"/>
          <w:szCs w:val="24"/>
        </w:rPr>
        <w:t xml:space="preserve">likely to have significant effects on the environment and that </w:t>
      </w:r>
      <w:r w:rsidR="007138B2" w:rsidRPr="00905EB7">
        <w:rPr>
          <w:rFonts w:cs="Arial"/>
          <w:color w:val="auto"/>
          <w:sz w:val="24"/>
          <w:szCs w:val="24"/>
        </w:rPr>
        <w:t xml:space="preserve">an </w:t>
      </w:r>
      <w:r w:rsidR="000653D1" w:rsidRPr="00905EB7">
        <w:rPr>
          <w:rFonts w:cs="Arial"/>
          <w:color w:val="auto"/>
          <w:sz w:val="24"/>
          <w:szCs w:val="24"/>
        </w:rPr>
        <w:t xml:space="preserve">SEA was </w:t>
      </w:r>
      <w:r w:rsidR="007138B2" w:rsidRPr="00905EB7">
        <w:rPr>
          <w:rFonts w:cs="Arial"/>
          <w:color w:val="auto"/>
          <w:sz w:val="24"/>
          <w:szCs w:val="24"/>
        </w:rPr>
        <w:t xml:space="preserve">not </w:t>
      </w:r>
      <w:r w:rsidR="000653D1" w:rsidRPr="00905EB7">
        <w:rPr>
          <w:rFonts w:cs="Arial"/>
          <w:color w:val="auto"/>
          <w:sz w:val="24"/>
          <w:szCs w:val="24"/>
        </w:rPr>
        <w:t xml:space="preserve">required.  </w:t>
      </w:r>
      <w:r w:rsidR="007138B2" w:rsidRPr="00905EB7">
        <w:rPr>
          <w:rFonts w:cs="Arial"/>
          <w:color w:val="auto"/>
          <w:sz w:val="24"/>
          <w:szCs w:val="24"/>
        </w:rPr>
        <w:t xml:space="preserve">Subsequently, the NDP was revised to include an allocation of land for development.  </w:t>
      </w:r>
      <w:r w:rsidR="00390D88" w:rsidRPr="00905EB7">
        <w:rPr>
          <w:rFonts w:cs="Arial"/>
          <w:color w:val="auto"/>
          <w:sz w:val="24"/>
          <w:szCs w:val="24"/>
        </w:rPr>
        <w:t>Consequently</w:t>
      </w:r>
      <w:r w:rsidR="007138B2" w:rsidRPr="00905EB7">
        <w:rPr>
          <w:rFonts w:cs="Arial"/>
          <w:color w:val="auto"/>
          <w:sz w:val="24"/>
          <w:szCs w:val="24"/>
        </w:rPr>
        <w:t>, an</w:t>
      </w:r>
      <w:r w:rsidR="00390D88" w:rsidRPr="00905EB7">
        <w:rPr>
          <w:rFonts w:cs="Arial"/>
          <w:color w:val="auto"/>
          <w:sz w:val="24"/>
          <w:szCs w:val="24"/>
        </w:rPr>
        <w:t xml:space="preserve"> </w:t>
      </w:r>
      <w:r w:rsidR="00390D88" w:rsidRPr="00905EB7">
        <w:rPr>
          <w:rFonts w:cs="Arial"/>
          <w:color w:val="auto"/>
          <w:sz w:val="24"/>
          <w:szCs w:val="24"/>
        </w:rPr>
        <w:lastRenderedPageBreak/>
        <w:t xml:space="preserve">SEA was undertaken by </w:t>
      </w:r>
      <w:r w:rsidR="00A31623" w:rsidRPr="00905EB7">
        <w:rPr>
          <w:rFonts w:cs="Arial"/>
          <w:color w:val="auto"/>
          <w:sz w:val="24"/>
          <w:szCs w:val="24"/>
        </w:rPr>
        <w:t xml:space="preserve">Mark Fessey of </w:t>
      </w:r>
      <w:r w:rsidR="007138B2" w:rsidRPr="00905EB7">
        <w:rPr>
          <w:rFonts w:cs="Arial"/>
          <w:color w:val="auto"/>
          <w:sz w:val="24"/>
          <w:szCs w:val="24"/>
        </w:rPr>
        <w:t>AECOM</w:t>
      </w:r>
      <w:r w:rsidR="00A31623" w:rsidRPr="00905EB7">
        <w:rPr>
          <w:rFonts w:cs="Arial"/>
          <w:color w:val="auto"/>
          <w:sz w:val="24"/>
          <w:szCs w:val="24"/>
        </w:rPr>
        <w:t xml:space="preserve"> Infrastructure &amp; Environment UK </w:t>
      </w:r>
      <w:r w:rsidR="007138B2" w:rsidRPr="00905EB7">
        <w:rPr>
          <w:rFonts w:cs="Arial"/>
          <w:color w:val="auto"/>
          <w:sz w:val="24"/>
          <w:szCs w:val="24"/>
        </w:rPr>
        <w:t>Ltd on behalf of East Hagbourne</w:t>
      </w:r>
      <w:r w:rsidR="00A31623" w:rsidRPr="00905EB7">
        <w:rPr>
          <w:rFonts w:cs="Arial"/>
          <w:color w:val="auto"/>
          <w:sz w:val="24"/>
          <w:szCs w:val="24"/>
        </w:rPr>
        <w:t xml:space="preserve"> Neighbourhood Plan Steering Group, representing East Hagbourne</w:t>
      </w:r>
      <w:r w:rsidR="007138B2" w:rsidRPr="00905EB7">
        <w:rPr>
          <w:rFonts w:cs="Arial"/>
          <w:color w:val="auto"/>
          <w:sz w:val="24"/>
          <w:szCs w:val="24"/>
        </w:rPr>
        <w:t xml:space="preserve"> Parish Council</w:t>
      </w:r>
      <w:r w:rsidR="00A31623" w:rsidRPr="00905EB7">
        <w:rPr>
          <w:rFonts w:cs="Arial"/>
          <w:color w:val="auto"/>
          <w:sz w:val="24"/>
          <w:szCs w:val="24"/>
        </w:rPr>
        <w:t xml:space="preserve"> who are the qualifying body, and</w:t>
      </w:r>
      <w:r w:rsidR="007138B2" w:rsidRPr="00905EB7">
        <w:rPr>
          <w:rFonts w:cs="Arial"/>
          <w:color w:val="auto"/>
          <w:sz w:val="24"/>
          <w:szCs w:val="24"/>
        </w:rPr>
        <w:t xml:space="preserve"> </w:t>
      </w:r>
      <w:r w:rsidR="00390D88" w:rsidRPr="00905EB7">
        <w:rPr>
          <w:rFonts w:cs="Arial"/>
          <w:color w:val="auto"/>
          <w:sz w:val="24"/>
          <w:szCs w:val="24"/>
        </w:rPr>
        <w:t>comprising of:</w:t>
      </w:r>
    </w:p>
    <w:p w14:paraId="1E7B193F" w14:textId="1CC1E25F" w:rsidR="00390D88" w:rsidRPr="00905EB7" w:rsidRDefault="00390D88" w:rsidP="007721F2">
      <w:pPr>
        <w:pStyle w:val="AFWBulletsBW"/>
        <w:numPr>
          <w:ilvl w:val="0"/>
          <w:numId w:val="15"/>
        </w:numPr>
        <w:rPr>
          <w:rFonts w:cs="Arial"/>
          <w:color w:val="auto"/>
          <w:sz w:val="24"/>
          <w:szCs w:val="24"/>
        </w:rPr>
      </w:pPr>
      <w:r w:rsidRPr="00905EB7">
        <w:rPr>
          <w:rFonts w:cs="Arial"/>
          <w:color w:val="auto"/>
          <w:sz w:val="24"/>
          <w:szCs w:val="24"/>
        </w:rPr>
        <w:t xml:space="preserve">A Scoping Report dated </w:t>
      </w:r>
      <w:r w:rsidR="00A31623" w:rsidRPr="00905EB7">
        <w:rPr>
          <w:rFonts w:cs="Arial"/>
          <w:color w:val="auto"/>
          <w:sz w:val="24"/>
          <w:szCs w:val="24"/>
        </w:rPr>
        <w:t>February 2018</w:t>
      </w:r>
    </w:p>
    <w:p w14:paraId="46430506" w14:textId="30C00017" w:rsidR="004B17D3" w:rsidRPr="00905EB7" w:rsidRDefault="004B17D3" w:rsidP="007721F2">
      <w:pPr>
        <w:pStyle w:val="AFWBulletsBW"/>
        <w:numPr>
          <w:ilvl w:val="0"/>
          <w:numId w:val="15"/>
        </w:numPr>
        <w:rPr>
          <w:rFonts w:cs="Arial"/>
          <w:color w:val="auto"/>
          <w:sz w:val="24"/>
          <w:szCs w:val="24"/>
        </w:rPr>
      </w:pPr>
      <w:r w:rsidRPr="00905EB7">
        <w:rPr>
          <w:rFonts w:cs="Arial"/>
          <w:color w:val="auto"/>
          <w:sz w:val="24"/>
          <w:szCs w:val="24"/>
        </w:rPr>
        <w:t>An Environmental Report dated February 2018</w:t>
      </w:r>
    </w:p>
    <w:p w14:paraId="7706378F" w14:textId="72625FFF" w:rsidR="004B17D3" w:rsidRPr="00905EB7" w:rsidRDefault="004B17D3" w:rsidP="004B17D3">
      <w:pPr>
        <w:pStyle w:val="AFWBulletsBW"/>
        <w:numPr>
          <w:ilvl w:val="0"/>
          <w:numId w:val="15"/>
        </w:numPr>
        <w:rPr>
          <w:rFonts w:cs="Arial"/>
          <w:color w:val="auto"/>
          <w:sz w:val="24"/>
          <w:szCs w:val="24"/>
        </w:rPr>
      </w:pPr>
      <w:r w:rsidRPr="00905EB7">
        <w:rPr>
          <w:rFonts w:cs="Arial"/>
          <w:color w:val="auto"/>
          <w:sz w:val="24"/>
          <w:szCs w:val="24"/>
        </w:rPr>
        <w:t>An Environmental Report Update: Non-technical Summary dated February 2018</w:t>
      </w:r>
    </w:p>
    <w:p w14:paraId="32B3554B" w14:textId="5A158A88" w:rsidR="00BB57BF" w:rsidRPr="00905EB7" w:rsidRDefault="00A31623" w:rsidP="00A31623">
      <w:pPr>
        <w:pStyle w:val="AFWBulletsBW"/>
        <w:numPr>
          <w:ilvl w:val="0"/>
          <w:numId w:val="15"/>
        </w:numPr>
        <w:rPr>
          <w:rFonts w:cs="Arial"/>
          <w:color w:val="auto"/>
          <w:sz w:val="24"/>
          <w:szCs w:val="24"/>
        </w:rPr>
      </w:pPr>
      <w:r w:rsidRPr="00905EB7">
        <w:rPr>
          <w:rFonts w:cs="Arial"/>
          <w:color w:val="auto"/>
          <w:sz w:val="24"/>
          <w:szCs w:val="24"/>
        </w:rPr>
        <w:t xml:space="preserve">An Environmental Report Update dated September 2018 </w:t>
      </w:r>
    </w:p>
    <w:p w14:paraId="0DA531F9" w14:textId="516A01D3" w:rsidR="00A31623" w:rsidRPr="00905EB7" w:rsidRDefault="00A31623" w:rsidP="00A31623">
      <w:pPr>
        <w:pStyle w:val="AFWBulletsBW"/>
        <w:numPr>
          <w:ilvl w:val="0"/>
          <w:numId w:val="15"/>
        </w:numPr>
        <w:rPr>
          <w:rFonts w:cs="Arial"/>
          <w:color w:val="auto"/>
          <w:sz w:val="24"/>
          <w:szCs w:val="24"/>
        </w:rPr>
      </w:pPr>
      <w:r w:rsidRPr="00905EB7">
        <w:rPr>
          <w:rFonts w:cs="Arial"/>
          <w:color w:val="auto"/>
          <w:sz w:val="24"/>
          <w:szCs w:val="24"/>
        </w:rPr>
        <w:t>An Environmental Report Update: Non-technical Summary dated September 2018</w:t>
      </w:r>
    </w:p>
    <w:p w14:paraId="1858B8BD" w14:textId="23B514E2" w:rsidR="00B4499C" w:rsidRDefault="00C11B40" w:rsidP="005C3145">
      <w:pPr>
        <w:pStyle w:val="AFWIntroBW"/>
      </w:pPr>
      <w:r w:rsidRPr="00905EB7">
        <w:rPr>
          <w:rFonts w:cs="Arial"/>
          <w:szCs w:val="24"/>
        </w:rPr>
        <w:t>The reports can be viewed at</w:t>
      </w:r>
      <w:r w:rsidR="005C3145">
        <w:rPr>
          <w:rFonts w:cs="Arial"/>
          <w:szCs w:val="24"/>
        </w:rPr>
        <w:t>:</w:t>
      </w:r>
      <w:r w:rsidRPr="00905EB7">
        <w:rPr>
          <w:rFonts w:cs="Arial"/>
          <w:szCs w:val="24"/>
        </w:rPr>
        <w:t xml:space="preserve"> </w:t>
      </w:r>
      <w:hyperlink r:id="rId8" w:history="1">
        <w:r w:rsidR="005C3145" w:rsidRPr="003E78D6">
          <w:rPr>
            <w:rStyle w:val="Hyperlink"/>
          </w:rPr>
          <w:t>http://www.southoxon.gov.uk/EastHagbourne-NP</w:t>
        </w:r>
      </w:hyperlink>
      <w:r w:rsidR="005C3145">
        <w:t xml:space="preserve"> </w:t>
      </w:r>
      <w:r w:rsidR="00B4499C">
        <w:t xml:space="preserve">and </w:t>
      </w:r>
      <w:hyperlink r:id="rId9" w:history="1">
        <w:r w:rsidR="00B4499C" w:rsidRPr="003E78D6">
          <w:rPr>
            <w:rStyle w:val="Hyperlink"/>
          </w:rPr>
          <w:t>https://easthagbourne.net/parish-council/neighbourhood-plan/</w:t>
        </w:r>
      </w:hyperlink>
    </w:p>
    <w:p w14:paraId="1B260944" w14:textId="77777777" w:rsidR="00B4499C" w:rsidRPr="00B4499C" w:rsidRDefault="00B4499C" w:rsidP="00B4499C">
      <w:pPr>
        <w:pStyle w:val="AFWBody"/>
      </w:pPr>
    </w:p>
    <w:p w14:paraId="25EBB41D" w14:textId="1BD7A6A9" w:rsidR="00E972F4" w:rsidRPr="0074347F" w:rsidRDefault="007D2DF7" w:rsidP="000620BC">
      <w:pPr>
        <w:pStyle w:val="AFWIntroBW"/>
        <w:rPr>
          <w:rFonts w:cs="Arial"/>
          <w:szCs w:val="24"/>
        </w:rPr>
      </w:pPr>
      <w:r w:rsidRPr="0074347F">
        <w:rPr>
          <w:rFonts w:cs="Arial"/>
          <w:szCs w:val="24"/>
        </w:rPr>
        <w:t xml:space="preserve">This Post Adoption Statement represents the conclusion of the SEA process and fulfils the plan and programme adoption requirements of the SEA Directive and SEA Regulations. </w:t>
      </w:r>
      <w:r w:rsidR="000620BC" w:rsidRPr="0074347F">
        <w:rPr>
          <w:rFonts w:cs="Arial"/>
          <w:szCs w:val="24"/>
        </w:rPr>
        <w:t xml:space="preserve">This statement has been prepared in accordance with Regulation 16 </w:t>
      </w:r>
      <w:r w:rsidR="009A62A2" w:rsidRPr="0074347F">
        <w:rPr>
          <w:rFonts w:cs="Arial"/>
          <w:szCs w:val="24"/>
        </w:rPr>
        <w:t>(3) and (4)</w:t>
      </w:r>
      <w:r w:rsidR="009A62A2">
        <w:rPr>
          <w:rFonts w:cs="Arial"/>
          <w:szCs w:val="24"/>
        </w:rPr>
        <w:t xml:space="preserve"> </w:t>
      </w:r>
      <w:r w:rsidR="000620BC" w:rsidRPr="0074347F">
        <w:rPr>
          <w:rFonts w:cs="Arial"/>
          <w:szCs w:val="24"/>
        </w:rPr>
        <w:t>of the Environmental Assessment of Plans and Programmes Regulations 2004, which require a statement to be produced on adoption of a plan or programme, to detail</w:t>
      </w:r>
      <w:r w:rsidR="0002634C">
        <w:rPr>
          <w:rFonts w:cs="Arial"/>
          <w:szCs w:val="24"/>
        </w:rPr>
        <w:t>, in summary</w:t>
      </w:r>
      <w:r w:rsidR="000620BC" w:rsidRPr="0074347F">
        <w:rPr>
          <w:rFonts w:cs="Arial"/>
          <w:szCs w:val="24"/>
        </w:rPr>
        <w:t>:</w:t>
      </w:r>
    </w:p>
    <w:p w14:paraId="5E698AD5" w14:textId="161873DB" w:rsidR="003949BD" w:rsidRPr="0074347F" w:rsidRDefault="003949BD" w:rsidP="007721F2">
      <w:pPr>
        <w:pStyle w:val="AFWBulletsBW"/>
        <w:numPr>
          <w:ilvl w:val="0"/>
          <w:numId w:val="11"/>
        </w:numPr>
        <w:rPr>
          <w:rFonts w:cs="Arial"/>
          <w:sz w:val="24"/>
          <w:szCs w:val="24"/>
        </w:rPr>
      </w:pPr>
      <w:r w:rsidRPr="0074347F">
        <w:rPr>
          <w:rFonts w:cs="Arial"/>
          <w:sz w:val="24"/>
          <w:szCs w:val="24"/>
        </w:rPr>
        <w:t>how environmental considerations have been integrated into the NDP (Section 2 of this document);</w:t>
      </w:r>
    </w:p>
    <w:p w14:paraId="12000677" w14:textId="77777777" w:rsidR="003949BD" w:rsidRPr="0074347F" w:rsidRDefault="003949BD" w:rsidP="007721F2">
      <w:pPr>
        <w:pStyle w:val="AFWBulletsBW"/>
        <w:numPr>
          <w:ilvl w:val="0"/>
          <w:numId w:val="11"/>
        </w:numPr>
        <w:rPr>
          <w:rFonts w:cs="Arial"/>
          <w:sz w:val="24"/>
          <w:szCs w:val="24"/>
        </w:rPr>
      </w:pPr>
      <w:r w:rsidRPr="0074347F">
        <w:rPr>
          <w:rFonts w:cs="Arial"/>
          <w:sz w:val="24"/>
          <w:szCs w:val="24"/>
        </w:rPr>
        <w:t>how the Environmental Report has been taken into account (Section 3);</w:t>
      </w:r>
    </w:p>
    <w:p w14:paraId="2604CB17" w14:textId="1E14A7B4" w:rsidR="003949BD" w:rsidRPr="0074347F" w:rsidRDefault="003949BD" w:rsidP="007721F2">
      <w:pPr>
        <w:pStyle w:val="AFWBulletsBW"/>
        <w:numPr>
          <w:ilvl w:val="0"/>
          <w:numId w:val="11"/>
        </w:numPr>
        <w:rPr>
          <w:rFonts w:cs="Arial"/>
          <w:sz w:val="24"/>
          <w:szCs w:val="24"/>
        </w:rPr>
      </w:pPr>
      <w:r w:rsidRPr="0074347F">
        <w:rPr>
          <w:rFonts w:cs="Arial"/>
          <w:sz w:val="24"/>
          <w:szCs w:val="24"/>
        </w:rPr>
        <w:t xml:space="preserve">how opinions expressed in response to the consultation on the </w:t>
      </w:r>
      <w:r w:rsidR="009A62A2">
        <w:rPr>
          <w:rFonts w:cs="Arial"/>
          <w:sz w:val="24"/>
          <w:szCs w:val="24"/>
        </w:rPr>
        <w:t xml:space="preserve">Draft NDP and </w:t>
      </w:r>
      <w:r w:rsidRPr="0074347F">
        <w:rPr>
          <w:rFonts w:cs="Arial"/>
          <w:sz w:val="24"/>
          <w:szCs w:val="24"/>
        </w:rPr>
        <w:t>Draft Environmental Report have been taken into account (Section 4);</w:t>
      </w:r>
    </w:p>
    <w:p w14:paraId="20EFEC40" w14:textId="4BF85125" w:rsidR="003949BD" w:rsidRPr="0074347F" w:rsidRDefault="003949BD" w:rsidP="007721F2">
      <w:pPr>
        <w:pStyle w:val="AFWBulletsBW"/>
        <w:numPr>
          <w:ilvl w:val="0"/>
          <w:numId w:val="11"/>
        </w:numPr>
        <w:rPr>
          <w:rFonts w:cs="Arial"/>
          <w:sz w:val="24"/>
          <w:szCs w:val="24"/>
        </w:rPr>
      </w:pPr>
      <w:r w:rsidRPr="0074347F">
        <w:rPr>
          <w:rFonts w:cs="Arial"/>
          <w:sz w:val="24"/>
          <w:szCs w:val="24"/>
        </w:rPr>
        <w:t xml:space="preserve">the reasons for choosing the </w:t>
      </w:r>
      <w:r w:rsidR="00F84FDD" w:rsidRPr="0074347F">
        <w:rPr>
          <w:rFonts w:cs="Arial"/>
          <w:sz w:val="24"/>
          <w:szCs w:val="24"/>
        </w:rPr>
        <w:t>NDP</w:t>
      </w:r>
      <w:r w:rsidRPr="0074347F">
        <w:rPr>
          <w:rFonts w:cs="Arial"/>
          <w:sz w:val="24"/>
          <w:szCs w:val="24"/>
        </w:rPr>
        <w:t xml:space="preserve">, as </w:t>
      </w:r>
      <w:r w:rsidR="0095642D">
        <w:rPr>
          <w:rFonts w:cs="Arial"/>
          <w:sz w:val="24"/>
          <w:szCs w:val="24"/>
        </w:rPr>
        <w:t>made</w:t>
      </w:r>
      <w:r w:rsidRPr="0074347F">
        <w:rPr>
          <w:rFonts w:cs="Arial"/>
          <w:sz w:val="24"/>
          <w:szCs w:val="24"/>
        </w:rPr>
        <w:t>, in the light of the other reasonable alternatives dealt with (Section 5); and</w:t>
      </w:r>
    </w:p>
    <w:p w14:paraId="2F472440" w14:textId="104DDCB3" w:rsidR="0074347F" w:rsidRDefault="003949BD" w:rsidP="007721F2">
      <w:pPr>
        <w:pStyle w:val="AFWBulletsBW"/>
        <w:numPr>
          <w:ilvl w:val="0"/>
          <w:numId w:val="11"/>
        </w:numPr>
        <w:rPr>
          <w:rFonts w:cs="Arial"/>
          <w:sz w:val="24"/>
          <w:szCs w:val="24"/>
        </w:rPr>
      </w:pPr>
      <w:r w:rsidRPr="0074347F">
        <w:rPr>
          <w:rFonts w:cs="Arial"/>
          <w:sz w:val="24"/>
          <w:szCs w:val="24"/>
        </w:rPr>
        <w:t xml:space="preserve">the measures that are to be taken to monitor the significant environmental effects of the implementation of the </w:t>
      </w:r>
      <w:r w:rsidR="00F84FDD" w:rsidRPr="0074347F">
        <w:rPr>
          <w:rFonts w:cs="Arial"/>
          <w:sz w:val="24"/>
          <w:szCs w:val="24"/>
        </w:rPr>
        <w:t>NDP</w:t>
      </w:r>
      <w:r w:rsidRPr="0074347F">
        <w:rPr>
          <w:rFonts w:cs="Arial"/>
          <w:sz w:val="24"/>
          <w:szCs w:val="24"/>
        </w:rPr>
        <w:t xml:space="preserve"> (Section 6).</w:t>
      </w:r>
    </w:p>
    <w:p w14:paraId="03394D15" w14:textId="77777777" w:rsidR="008A36C0" w:rsidRDefault="008A36C0" w:rsidP="008A36C0">
      <w:pPr>
        <w:pStyle w:val="AFWBulletsBW"/>
        <w:numPr>
          <w:ilvl w:val="0"/>
          <w:numId w:val="0"/>
        </w:numPr>
        <w:ind w:left="1211"/>
        <w:rPr>
          <w:rFonts w:cs="Arial"/>
          <w:sz w:val="24"/>
          <w:szCs w:val="24"/>
        </w:rPr>
      </w:pPr>
    </w:p>
    <w:p w14:paraId="5495DAD1" w14:textId="77777777" w:rsidR="009A62A2" w:rsidRDefault="009A62A2">
      <w:pPr>
        <w:rPr>
          <w:rFonts w:ascii="Arial" w:hAnsi="Arial" w:cs="Arial"/>
          <w:b/>
          <w:color w:val="000000"/>
          <w:sz w:val="24"/>
          <w:szCs w:val="24"/>
        </w:rPr>
      </w:pPr>
      <w:r>
        <w:rPr>
          <w:rFonts w:cs="Arial"/>
          <w:b/>
          <w:sz w:val="24"/>
          <w:szCs w:val="24"/>
        </w:rPr>
        <w:br w:type="page"/>
      </w:r>
    </w:p>
    <w:p w14:paraId="57466C49" w14:textId="1F81AF4A" w:rsidR="005D6391" w:rsidRPr="00243E50" w:rsidRDefault="00243E50" w:rsidP="00243E50">
      <w:pPr>
        <w:pStyle w:val="AFWBody"/>
        <w:ind w:left="709" w:hanging="709"/>
        <w:rPr>
          <w:b/>
          <w:sz w:val="24"/>
          <w:szCs w:val="24"/>
        </w:rPr>
      </w:pPr>
      <w:r>
        <w:rPr>
          <w:b/>
          <w:sz w:val="24"/>
          <w:szCs w:val="24"/>
        </w:rPr>
        <w:lastRenderedPageBreak/>
        <w:t>2</w:t>
      </w:r>
      <w:r>
        <w:rPr>
          <w:b/>
          <w:sz w:val="24"/>
          <w:szCs w:val="24"/>
        </w:rPr>
        <w:tab/>
      </w:r>
      <w:r w:rsidR="0074347F" w:rsidRPr="00243E50">
        <w:rPr>
          <w:b/>
          <w:sz w:val="24"/>
          <w:szCs w:val="24"/>
        </w:rPr>
        <w:t>HOW ENVIRONMENTAL CONSIDERATIONS HAVE BEEN INTEGRATED INTO THE NDP</w:t>
      </w:r>
    </w:p>
    <w:p w14:paraId="43B51FD6" w14:textId="0F631B84" w:rsidR="00F43E3D" w:rsidRPr="00243E50" w:rsidRDefault="00243E50" w:rsidP="00243E50">
      <w:pPr>
        <w:pStyle w:val="AFWBody"/>
        <w:rPr>
          <w:b/>
          <w:sz w:val="24"/>
          <w:szCs w:val="24"/>
        </w:rPr>
      </w:pPr>
      <w:bookmarkStart w:id="0" w:name="_Toc486410878"/>
      <w:r w:rsidRPr="00243E50">
        <w:rPr>
          <w:b/>
          <w:sz w:val="24"/>
          <w:szCs w:val="24"/>
        </w:rPr>
        <w:t>2.1</w:t>
      </w:r>
      <w:r w:rsidRPr="00243E50">
        <w:rPr>
          <w:b/>
          <w:sz w:val="24"/>
          <w:szCs w:val="24"/>
        </w:rPr>
        <w:tab/>
      </w:r>
      <w:r w:rsidR="00A036A1" w:rsidRPr="00243E50">
        <w:rPr>
          <w:b/>
          <w:sz w:val="24"/>
          <w:szCs w:val="24"/>
        </w:rPr>
        <w:t xml:space="preserve">Environmental Considerations </w:t>
      </w:r>
      <w:r w:rsidR="00EC5C2C" w:rsidRPr="00243E50">
        <w:rPr>
          <w:b/>
          <w:sz w:val="24"/>
          <w:szCs w:val="24"/>
        </w:rPr>
        <w:t>i</w:t>
      </w:r>
      <w:r w:rsidR="00A036A1" w:rsidRPr="00243E50">
        <w:rPr>
          <w:b/>
          <w:sz w:val="24"/>
          <w:szCs w:val="24"/>
        </w:rPr>
        <w:t xml:space="preserve">n </w:t>
      </w:r>
      <w:r w:rsidR="00EC5C2C" w:rsidRPr="00243E50">
        <w:rPr>
          <w:b/>
          <w:sz w:val="24"/>
          <w:szCs w:val="24"/>
        </w:rPr>
        <w:t>t</w:t>
      </w:r>
      <w:r w:rsidR="00A036A1" w:rsidRPr="00243E50">
        <w:rPr>
          <w:b/>
          <w:sz w:val="24"/>
          <w:szCs w:val="24"/>
        </w:rPr>
        <w:t xml:space="preserve">he </w:t>
      </w:r>
      <w:bookmarkEnd w:id="0"/>
      <w:r w:rsidR="00A036A1" w:rsidRPr="00243E50">
        <w:rPr>
          <w:b/>
          <w:sz w:val="24"/>
          <w:szCs w:val="24"/>
        </w:rPr>
        <w:t>N</w:t>
      </w:r>
      <w:r w:rsidR="00EC5C2C" w:rsidRPr="00243E50">
        <w:rPr>
          <w:b/>
          <w:sz w:val="24"/>
          <w:szCs w:val="24"/>
        </w:rPr>
        <w:t>DP</w:t>
      </w:r>
    </w:p>
    <w:p w14:paraId="16931D20" w14:textId="77777777" w:rsidR="00F43E3D" w:rsidRPr="0074347F" w:rsidRDefault="00F43E3D" w:rsidP="00430112">
      <w:pPr>
        <w:pStyle w:val="Heading3"/>
      </w:pPr>
      <w:bookmarkStart w:id="1" w:name="_Toc486410879"/>
      <w:r w:rsidRPr="0074347F">
        <w:t xml:space="preserve">Preparation of the </w:t>
      </w:r>
      <w:bookmarkEnd w:id="1"/>
      <w:r w:rsidRPr="0074347F">
        <w:t>NDP</w:t>
      </w:r>
    </w:p>
    <w:p w14:paraId="24D119F0" w14:textId="77777777" w:rsidR="00F43E3D" w:rsidRPr="0074347F" w:rsidRDefault="00F43E3D" w:rsidP="00F43E3D">
      <w:pPr>
        <w:pStyle w:val="AFWBody"/>
        <w:rPr>
          <w:rFonts w:cs="Arial"/>
          <w:sz w:val="24"/>
          <w:szCs w:val="24"/>
        </w:rPr>
      </w:pPr>
      <w:r w:rsidRPr="0074347F">
        <w:rPr>
          <w:rFonts w:cs="Arial"/>
          <w:sz w:val="24"/>
          <w:szCs w:val="24"/>
        </w:rPr>
        <w:t>Environmental and wider sustainability considerations have been integral to the key decisions made in respect of the policies and proposals of the NDP.  The integration of these considerations into the plan making process has principally been achieved through:</w:t>
      </w:r>
    </w:p>
    <w:p w14:paraId="04DCC057" w14:textId="6DF0E2D4" w:rsidR="00F43E3D" w:rsidRPr="0074347F" w:rsidRDefault="00F43E3D" w:rsidP="007721F2">
      <w:pPr>
        <w:pStyle w:val="AFWBulletsBW"/>
        <w:numPr>
          <w:ilvl w:val="0"/>
          <w:numId w:val="14"/>
        </w:numPr>
        <w:rPr>
          <w:rFonts w:cs="Arial"/>
          <w:sz w:val="24"/>
          <w:szCs w:val="24"/>
        </w:rPr>
      </w:pPr>
      <w:r w:rsidRPr="0074347F">
        <w:rPr>
          <w:rFonts w:cs="Arial"/>
          <w:sz w:val="24"/>
          <w:szCs w:val="24"/>
        </w:rPr>
        <w:t>the development of a proportionate evidence base on topics including (inter alia) housing, population</w:t>
      </w:r>
      <w:r w:rsidR="008907B8" w:rsidRPr="0074347F">
        <w:rPr>
          <w:rFonts w:cs="Arial"/>
          <w:sz w:val="24"/>
          <w:szCs w:val="24"/>
        </w:rPr>
        <w:t xml:space="preserve"> and health</w:t>
      </w:r>
      <w:r w:rsidRPr="0074347F">
        <w:rPr>
          <w:rFonts w:cs="Arial"/>
          <w:sz w:val="24"/>
          <w:szCs w:val="24"/>
        </w:rPr>
        <w:t xml:space="preserve">, transport, landscape, air quality, biodiversity, flood risk, </w:t>
      </w:r>
      <w:r w:rsidR="008907B8" w:rsidRPr="0074347F">
        <w:rPr>
          <w:rFonts w:cs="Arial"/>
          <w:sz w:val="24"/>
          <w:szCs w:val="24"/>
        </w:rPr>
        <w:t>climatic factors</w:t>
      </w:r>
      <w:r w:rsidRPr="0074347F">
        <w:rPr>
          <w:rFonts w:cs="Arial"/>
          <w:sz w:val="24"/>
          <w:szCs w:val="24"/>
        </w:rPr>
        <w:t>;</w:t>
      </w:r>
    </w:p>
    <w:p w14:paraId="23CB8D45" w14:textId="77777777" w:rsidR="00F43E3D" w:rsidRPr="0074347F" w:rsidRDefault="00F43E3D" w:rsidP="007721F2">
      <w:pPr>
        <w:pStyle w:val="AFWBulletsBW"/>
        <w:numPr>
          <w:ilvl w:val="0"/>
          <w:numId w:val="14"/>
        </w:numPr>
        <w:rPr>
          <w:rFonts w:cs="Arial"/>
          <w:sz w:val="24"/>
          <w:szCs w:val="24"/>
        </w:rPr>
      </w:pPr>
      <w:r w:rsidRPr="0074347F">
        <w:rPr>
          <w:rFonts w:cs="Arial"/>
          <w:sz w:val="24"/>
          <w:szCs w:val="24"/>
        </w:rPr>
        <w:t>engagement with key stakeholders and the public on the emerging NDP and related environmental and sustainability matters;</w:t>
      </w:r>
    </w:p>
    <w:p w14:paraId="52F7445E" w14:textId="77777777" w:rsidR="00F43E3D" w:rsidRPr="0074347F" w:rsidRDefault="00F43E3D" w:rsidP="007721F2">
      <w:pPr>
        <w:pStyle w:val="AFWBulletsBW"/>
        <w:numPr>
          <w:ilvl w:val="0"/>
          <w:numId w:val="14"/>
        </w:numPr>
        <w:rPr>
          <w:rFonts w:cs="Arial"/>
          <w:sz w:val="24"/>
          <w:szCs w:val="24"/>
        </w:rPr>
      </w:pPr>
      <w:r w:rsidRPr="0074347F">
        <w:rPr>
          <w:rFonts w:cs="Arial"/>
          <w:sz w:val="24"/>
          <w:szCs w:val="24"/>
        </w:rPr>
        <w:t>the consideration of national planning policy and the objectives of other plans and programmes, including those produced by the District Council; and</w:t>
      </w:r>
    </w:p>
    <w:p w14:paraId="73069BBE" w14:textId="40CF9985" w:rsidR="002F559E" w:rsidRPr="0074347F" w:rsidRDefault="00F43E3D" w:rsidP="007721F2">
      <w:pPr>
        <w:pStyle w:val="AFWBulletsBW"/>
        <w:numPr>
          <w:ilvl w:val="0"/>
          <w:numId w:val="14"/>
        </w:numPr>
        <w:rPr>
          <w:rFonts w:cs="Arial"/>
          <w:sz w:val="24"/>
          <w:szCs w:val="24"/>
        </w:rPr>
      </w:pPr>
      <w:r w:rsidRPr="0074347F">
        <w:rPr>
          <w:rFonts w:cs="Arial"/>
          <w:sz w:val="24"/>
          <w:szCs w:val="24"/>
        </w:rPr>
        <w:t xml:space="preserve">ongoing assessment including SEA (see </w:t>
      </w:r>
      <w:r w:rsidRPr="0074347F">
        <w:rPr>
          <w:rFonts w:cs="Arial"/>
          <w:b/>
          <w:sz w:val="24"/>
          <w:szCs w:val="24"/>
        </w:rPr>
        <w:t>Section 2.2</w:t>
      </w:r>
      <w:r w:rsidRPr="0074347F">
        <w:rPr>
          <w:rFonts w:cs="Arial"/>
          <w:sz w:val="24"/>
          <w:szCs w:val="24"/>
        </w:rPr>
        <w:t>)</w:t>
      </w:r>
      <w:r w:rsidR="008907B8" w:rsidRPr="0074347F">
        <w:rPr>
          <w:rFonts w:cs="Arial"/>
          <w:sz w:val="24"/>
          <w:szCs w:val="24"/>
        </w:rPr>
        <w:t>.</w:t>
      </w:r>
    </w:p>
    <w:p w14:paraId="5F91C0CE" w14:textId="77777777" w:rsidR="009F78D9" w:rsidRPr="0074347F" w:rsidRDefault="00431E3B" w:rsidP="009F78D9">
      <w:pPr>
        <w:pStyle w:val="Heading3"/>
        <w:rPr>
          <w:rFonts w:cs="Arial"/>
          <w:sz w:val="24"/>
          <w:szCs w:val="24"/>
        </w:rPr>
      </w:pPr>
      <w:bookmarkStart w:id="2" w:name="_Toc486410880"/>
      <w:r w:rsidRPr="0074347F">
        <w:rPr>
          <w:rFonts w:cs="Arial"/>
          <w:sz w:val="24"/>
          <w:szCs w:val="24"/>
        </w:rPr>
        <w:t>NDP</w:t>
      </w:r>
      <w:r w:rsidR="009F78D9" w:rsidRPr="0074347F">
        <w:rPr>
          <w:rFonts w:cs="Arial"/>
          <w:sz w:val="24"/>
          <w:szCs w:val="24"/>
        </w:rPr>
        <w:t xml:space="preserve"> Content</w:t>
      </w:r>
      <w:bookmarkEnd w:id="2"/>
    </w:p>
    <w:p w14:paraId="759E978B" w14:textId="1938C072" w:rsidR="00847F7A" w:rsidRPr="0074347F" w:rsidRDefault="00847F7A" w:rsidP="009F78D9">
      <w:pPr>
        <w:pStyle w:val="AFWBody"/>
        <w:rPr>
          <w:rFonts w:cs="Arial"/>
          <w:sz w:val="24"/>
          <w:szCs w:val="24"/>
        </w:rPr>
      </w:pPr>
      <w:r w:rsidRPr="0074347F">
        <w:rPr>
          <w:rFonts w:cs="Arial"/>
          <w:sz w:val="24"/>
          <w:szCs w:val="24"/>
        </w:rPr>
        <w:t>The NDP plans positively to support local development (as outlined in paragraph 1</w:t>
      </w:r>
      <w:r w:rsidR="008C4E01">
        <w:rPr>
          <w:rFonts w:cs="Arial"/>
          <w:sz w:val="24"/>
          <w:szCs w:val="24"/>
        </w:rPr>
        <w:t>3</w:t>
      </w:r>
      <w:r w:rsidRPr="0074347F">
        <w:rPr>
          <w:rFonts w:cs="Arial"/>
          <w:sz w:val="24"/>
          <w:szCs w:val="24"/>
        </w:rPr>
        <w:t xml:space="preserve"> of the National Planning Policy Framework). </w:t>
      </w:r>
      <w:r w:rsidR="009F78D9" w:rsidRPr="0074347F">
        <w:rPr>
          <w:rFonts w:cs="Arial"/>
          <w:sz w:val="24"/>
          <w:szCs w:val="24"/>
        </w:rPr>
        <w:t xml:space="preserve">This aim is expressed in the </w:t>
      </w:r>
      <w:r w:rsidRPr="0074347F">
        <w:rPr>
          <w:rFonts w:cs="Arial"/>
          <w:sz w:val="24"/>
          <w:szCs w:val="24"/>
        </w:rPr>
        <w:t>NDP</w:t>
      </w:r>
      <w:r w:rsidR="009F78D9" w:rsidRPr="0074347F">
        <w:rPr>
          <w:rFonts w:cs="Arial"/>
          <w:sz w:val="24"/>
          <w:szCs w:val="24"/>
        </w:rPr>
        <w:t xml:space="preserve"> </w:t>
      </w:r>
      <w:r w:rsidR="008B35A1" w:rsidRPr="0074347F">
        <w:rPr>
          <w:rFonts w:cs="Arial"/>
          <w:sz w:val="24"/>
          <w:szCs w:val="24"/>
        </w:rPr>
        <w:t>V</w:t>
      </w:r>
      <w:r w:rsidR="009F78D9" w:rsidRPr="0074347F">
        <w:rPr>
          <w:rFonts w:cs="Arial"/>
          <w:sz w:val="24"/>
          <w:szCs w:val="24"/>
        </w:rPr>
        <w:t xml:space="preserve">ision, which </w:t>
      </w:r>
      <w:r w:rsidRPr="0074347F">
        <w:rPr>
          <w:rFonts w:cs="Arial"/>
          <w:sz w:val="24"/>
          <w:szCs w:val="24"/>
        </w:rPr>
        <w:t>is</w:t>
      </w:r>
      <w:r w:rsidR="006C5288">
        <w:rPr>
          <w:rFonts w:cs="Arial"/>
          <w:sz w:val="24"/>
          <w:szCs w:val="24"/>
        </w:rPr>
        <w:t>:</w:t>
      </w:r>
      <w:r w:rsidRPr="0074347F">
        <w:rPr>
          <w:rFonts w:cs="Arial"/>
          <w:sz w:val="24"/>
          <w:szCs w:val="24"/>
        </w:rPr>
        <w:t xml:space="preserve"> </w:t>
      </w:r>
      <w:r w:rsidR="009B3FE4">
        <w:rPr>
          <w:rFonts w:cs="Arial"/>
          <w:sz w:val="24"/>
          <w:szCs w:val="24"/>
        </w:rPr>
        <w:t>"</w:t>
      </w:r>
      <w:r w:rsidR="009B3FE4" w:rsidRPr="009B3FE4">
        <w:rPr>
          <w:rFonts w:cs="Arial"/>
          <w:sz w:val="24"/>
          <w:szCs w:val="24"/>
        </w:rPr>
        <w:t>To safeguard the individual character, vitality and community facilities of our historic village and protect its rural environment for the health and wellbeing of town and village residents alike, whilst supporting sustainable development that meets the needs of residents now and in the future.</w:t>
      </w:r>
      <w:r w:rsidR="009B3FE4">
        <w:rPr>
          <w:rFonts w:cs="Arial"/>
          <w:sz w:val="24"/>
          <w:szCs w:val="24"/>
        </w:rPr>
        <w:t>"</w:t>
      </w:r>
    </w:p>
    <w:p w14:paraId="6028A13C" w14:textId="790626B6" w:rsidR="009F78D9" w:rsidRDefault="00847F7A" w:rsidP="009F78D9">
      <w:pPr>
        <w:pStyle w:val="AFWBody"/>
        <w:rPr>
          <w:rFonts w:cs="Arial"/>
          <w:sz w:val="24"/>
          <w:szCs w:val="24"/>
        </w:rPr>
      </w:pPr>
      <w:r w:rsidRPr="0074347F">
        <w:rPr>
          <w:rFonts w:cs="Arial"/>
          <w:sz w:val="24"/>
          <w:szCs w:val="24"/>
        </w:rPr>
        <w:t xml:space="preserve">The </w:t>
      </w:r>
      <w:r w:rsidR="008B35A1" w:rsidRPr="0074347F">
        <w:rPr>
          <w:rFonts w:cs="Arial"/>
          <w:sz w:val="24"/>
          <w:szCs w:val="24"/>
        </w:rPr>
        <w:t>Vi</w:t>
      </w:r>
      <w:r w:rsidRPr="0074347F">
        <w:rPr>
          <w:rFonts w:cs="Arial"/>
          <w:sz w:val="24"/>
          <w:szCs w:val="24"/>
        </w:rPr>
        <w:t>sion is supported by</w:t>
      </w:r>
      <w:r w:rsidRPr="00183E7C">
        <w:rPr>
          <w:rFonts w:cs="Arial"/>
          <w:color w:val="auto"/>
          <w:sz w:val="24"/>
          <w:szCs w:val="24"/>
        </w:rPr>
        <w:t xml:space="preserve"> </w:t>
      </w:r>
      <w:r w:rsidR="009B3FE4" w:rsidRPr="00183E7C">
        <w:rPr>
          <w:rFonts w:cs="Arial"/>
          <w:color w:val="auto"/>
          <w:sz w:val="24"/>
          <w:szCs w:val="24"/>
        </w:rPr>
        <w:t>12</w:t>
      </w:r>
      <w:r w:rsidRPr="00183E7C">
        <w:rPr>
          <w:rFonts w:cs="Arial"/>
          <w:color w:val="auto"/>
          <w:sz w:val="24"/>
          <w:szCs w:val="24"/>
        </w:rPr>
        <w:t xml:space="preserve"> </w:t>
      </w:r>
      <w:r w:rsidR="008B35A1" w:rsidRPr="0074347F">
        <w:rPr>
          <w:rFonts w:cs="Arial"/>
          <w:sz w:val="24"/>
          <w:szCs w:val="24"/>
        </w:rPr>
        <w:t xml:space="preserve">Objectives in the NDP </w:t>
      </w:r>
      <w:r w:rsidRPr="0074347F">
        <w:rPr>
          <w:rFonts w:cs="Arial"/>
          <w:sz w:val="24"/>
          <w:szCs w:val="24"/>
        </w:rPr>
        <w:t>which are as follows</w:t>
      </w:r>
      <w:r w:rsidR="009F78D9" w:rsidRPr="0074347F">
        <w:rPr>
          <w:rFonts w:cs="Arial"/>
          <w:sz w:val="24"/>
          <w:szCs w:val="24"/>
        </w:rPr>
        <w:t>:</w:t>
      </w:r>
    </w:p>
    <w:tbl>
      <w:tblPr>
        <w:tblStyle w:val="TableGrid"/>
        <w:tblW w:w="0" w:type="auto"/>
        <w:tblLook w:val="04A0" w:firstRow="1" w:lastRow="0" w:firstColumn="1" w:lastColumn="0" w:noHBand="0" w:noVBand="1"/>
      </w:tblPr>
      <w:tblGrid>
        <w:gridCol w:w="1413"/>
        <w:gridCol w:w="7649"/>
      </w:tblGrid>
      <w:tr w:rsidR="009B3FE4" w:rsidRPr="009B3FE4" w14:paraId="63739FFA" w14:textId="77777777" w:rsidTr="00E71124">
        <w:tc>
          <w:tcPr>
            <w:tcW w:w="9062" w:type="dxa"/>
            <w:gridSpan w:val="2"/>
            <w:shd w:val="clear" w:color="auto" w:fill="F2F2F2" w:themeFill="background1" w:themeFillShade="F2"/>
          </w:tcPr>
          <w:p w14:paraId="3ED09868" w14:textId="77777777" w:rsidR="009B3FE4" w:rsidRPr="009B3FE4" w:rsidRDefault="009B3FE4" w:rsidP="009B3FE4">
            <w:pPr>
              <w:pStyle w:val="AFWBody"/>
              <w:rPr>
                <w:rFonts w:cs="Arial"/>
                <w:b/>
                <w:sz w:val="24"/>
                <w:szCs w:val="24"/>
              </w:rPr>
            </w:pPr>
            <w:r w:rsidRPr="009B3FE4">
              <w:rPr>
                <w:rFonts w:cs="Arial"/>
                <w:b/>
                <w:sz w:val="24"/>
                <w:szCs w:val="24"/>
              </w:rPr>
              <w:t>SUSTAINABLE DEVELOPMENT</w:t>
            </w:r>
          </w:p>
        </w:tc>
      </w:tr>
      <w:tr w:rsidR="009B3FE4" w:rsidRPr="009B3FE4" w14:paraId="6E08C505" w14:textId="77777777" w:rsidTr="00E71124">
        <w:tc>
          <w:tcPr>
            <w:tcW w:w="1413" w:type="dxa"/>
            <w:shd w:val="clear" w:color="auto" w:fill="auto"/>
          </w:tcPr>
          <w:p w14:paraId="65CD1D9F" w14:textId="77777777" w:rsidR="009B3FE4" w:rsidRPr="009B3FE4" w:rsidRDefault="009B3FE4" w:rsidP="009B3FE4">
            <w:pPr>
              <w:pStyle w:val="AFWBody"/>
              <w:rPr>
                <w:rFonts w:cs="Arial"/>
                <w:sz w:val="24"/>
                <w:szCs w:val="24"/>
              </w:rPr>
            </w:pPr>
            <w:r w:rsidRPr="009B3FE4">
              <w:rPr>
                <w:rFonts w:cs="Arial"/>
                <w:sz w:val="24"/>
                <w:szCs w:val="24"/>
              </w:rPr>
              <w:t>SD1</w:t>
            </w:r>
          </w:p>
        </w:tc>
        <w:tc>
          <w:tcPr>
            <w:tcW w:w="7649" w:type="dxa"/>
          </w:tcPr>
          <w:p w14:paraId="08F65ADF" w14:textId="77777777" w:rsidR="009B3FE4" w:rsidRPr="009B3FE4" w:rsidRDefault="009B3FE4" w:rsidP="009B3FE4">
            <w:pPr>
              <w:pStyle w:val="AFWBody"/>
              <w:rPr>
                <w:rFonts w:cs="Arial"/>
                <w:sz w:val="24"/>
                <w:szCs w:val="24"/>
              </w:rPr>
            </w:pPr>
            <w:r w:rsidRPr="009B3FE4">
              <w:rPr>
                <w:rFonts w:cs="Arial"/>
                <w:sz w:val="24"/>
                <w:szCs w:val="24"/>
              </w:rPr>
              <w:t>Support sustainable development that meets the needs of residents now and in the future.</w:t>
            </w:r>
          </w:p>
        </w:tc>
      </w:tr>
      <w:tr w:rsidR="009B3FE4" w:rsidRPr="009B3FE4" w14:paraId="52DA3ED2" w14:textId="77777777" w:rsidTr="00E71124">
        <w:tc>
          <w:tcPr>
            <w:tcW w:w="9062" w:type="dxa"/>
            <w:gridSpan w:val="2"/>
            <w:shd w:val="clear" w:color="auto" w:fill="F2F2F2" w:themeFill="background1" w:themeFillShade="F2"/>
          </w:tcPr>
          <w:p w14:paraId="617B50DE" w14:textId="77777777" w:rsidR="009B3FE4" w:rsidRPr="009B3FE4" w:rsidRDefault="009B3FE4" w:rsidP="009B3FE4">
            <w:pPr>
              <w:pStyle w:val="AFWBody"/>
              <w:rPr>
                <w:rFonts w:cs="Arial"/>
                <w:b/>
                <w:sz w:val="24"/>
                <w:szCs w:val="24"/>
              </w:rPr>
            </w:pPr>
            <w:r w:rsidRPr="009B3FE4">
              <w:rPr>
                <w:rFonts w:cs="Arial"/>
                <w:b/>
                <w:sz w:val="24"/>
                <w:szCs w:val="24"/>
              </w:rPr>
              <w:t>VILLAGE CHARACTER</w:t>
            </w:r>
          </w:p>
        </w:tc>
      </w:tr>
      <w:tr w:rsidR="009B3FE4" w:rsidRPr="009B3FE4" w14:paraId="64C5183E" w14:textId="77777777" w:rsidTr="00E71124">
        <w:tc>
          <w:tcPr>
            <w:tcW w:w="1413" w:type="dxa"/>
          </w:tcPr>
          <w:p w14:paraId="19A8E6E4" w14:textId="77777777" w:rsidR="009B3FE4" w:rsidRPr="009B3FE4" w:rsidRDefault="009B3FE4" w:rsidP="009B3FE4">
            <w:pPr>
              <w:pStyle w:val="AFWBody"/>
              <w:rPr>
                <w:rFonts w:cs="Arial"/>
                <w:sz w:val="24"/>
                <w:szCs w:val="24"/>
              </w:rPr>
            </w:pPr>
            <w:r w:rsidRPr="009B3FE4">
              <w:rPr>
                <w:rFonts w:cs="Arial"/>
                <w:sz w:val="24"/>
                <w:szCs w:val="24"/>
              </w:rPr>
              <w:t>VC1</w:t>
            </w:r>
          </w:p>
        </w:tc>
        <w:tc>
          <w:tcPr>
            <w:tcW w:w="7649" w:type="dxa"/>
          </w:tcPr>
          <w:p w14:paraId="7FAE822E" w14:textId="4B041D6F" w:rsidR="009B3FE4" w:rsidRPr="009B3FE4" w:rsidRDefault="009B3FE4" w:rsidP="009B3FE4">
            <w:pPr>
              <w:pStyle w:val="AFWBody"/>
              <w:rPr>
                <w:rFonts w:cs="Arial"/>
                <w:sz w:val="24"/>
                <w:szCs w:val="24"/>
              </w:rPr>
            </w:pPr>
            <w:r w:rsidRPr="009B3FE4">
              <w:rPr>
                <w:rFonts w:cs="Arial"/>
                <w:sz w:val="24"/>
                <w:szCs w:val="24"/>
              </w:rPr>
              <w:t>Preserve the independent and rural character of our village as Didcot expands. Conserve and enhance key views both into and out from the built areas and within the built areas</w:t>
            </w:r>
          </w:p>
        </w:tc>
      </w:tr>
      <w:tr w:rsidR="009B3FE4" w:rsidRPr="009B3FE4" w14:paraId="7810980D" w14:textId="77777777" w:rsidTr="00E71124">
        <w:tc>
          <w:tcPr>
            <w:tcW w:w="1413" w:type="dxa"/>
          </w:tcPr>
          <w:p w14:paraId="783FF456" w14:textId="77777777" w:rsidR="009B3FE4" w:rsidRPr="009B3FE4" w:rsidRDefault="009B3FE4" w:rsidP="009B3FE4">
            <w:pPr>
              <w:pStyle w:val="AFWBody"/>
              <w:rPr>
                <w:rFonts w:cs="Arial"/>
                <w:sz w:val="24"/>
                <w:szCs w:val="24"/>
              </w:rPr>
            </w:pPr>
            <w:r w:rsidRPr="009B3FE4">
              <w:rPr>
                <w:rFonts w:cs="Arial"/>
                <w:sz w:val="24"/>
                <w:szCs w:val="24"/>
              </w:rPr>
              <w:t>VC2</w:t>
            </w:r>
          </w:p>
        </w:tc>
        <w:tc>
          <w:tcPr>
            <w:tcW w:w="7649" w:type="dxa"/>
          </w:tcPr>
          <w:p w14:paraId="488D8413" w14:textId="77777777" w:rsidR="009B3FE4" w:rsidRPr="009B3FE4" w:rsidRDefault="009B3FE4" w:rsidP="009B3FE4">
            <w:pPr>
              <w:pStyle w:val="AFWBody"/>
              <w:rPr>
                <w:rFonts w:cs="Arial"/>
                <w:sz w:val="24"/>
                <w:szCs w:val="24"/>
              </w:rPr>
            </w:pPr>
            <w:r w:rsidRPr="009B3FE4">
              <w:rPr>
                <w:rFonts w:cs="Arial"/>
                <w:sz w:val="24"/>
                <w:szCs w:val="24"/>
              </w:rPr>
              <w:t xml:space="preserve">Conserve and enhance the heritage of the historic core of the village within and adjoining the Conservation Area together with its Listed Buildings and structures. </w:t>
            </w:r>
          </w:p>
        </w:tc>
      </w:tr>
      <w:tr w:rsidR="009B3FE4" w:rsidRPr="009B3FE4" w14:paraId="00F74550" w14:textId="77777777" w:rsidTr="00E71124">
        <w:tc>
          <w:tcPr>
            <w:tcW w:w="1413" w:type="dxa"/>
          </w:tcPr>
          <w:p w14:paraId="2FA6320B" w14:textId="77777777" w:rsidR="009B3FE4" w:rsidRPr="009B3FE4" w:rsidRDefault="009B3FE4" w:rsidP="009B3FE4">
            <w:pPr>
              <w:pStyle w:val="AFWBody"/>
              <w:rPr>
                <w:rFonts w:cs="Arial"/>
                <w:sz w:val="24"/>
                <w:szCs w:val="24"/>
              </w:rPr>
            </w:pPr>
            <w:r w:rsidRPr="009B3FE4">
              <w:rPr>
                <w:rFonts w:cs="Arial"/>
                <w:sz w:val="24"/>
                <w:szCs w:val="24"/>
              </w:rPr>
              <w:t>VC3</w:t>
            </w:r>
          </w:p>
        </w:tc>
        <w:tc>
          <w:tcPr>
            <w:tcW w:w="7649" w:type="dxa"/>
          </w:tcPr>
          <w:p w14:paraId="15DAABA3" w14:textId="77777777" w:rsidR="009B3FE4" w:rsidRPr="009B3FE4" w:rsidRDefault="009B3FE4" w:rsidP="009B3FE4">
            <w:pPr>
              <w:pStyle w:val="AFWBody"/>
              <w:rPr>
                <w:rFonts w:cs="Arial"/>
                <w:sz w:val="24"/>
                <w:szCs w:val="24"/>
              </w:rPr>
            </w:pPr>
            <w:r w:rsidRPr="009B3FE4">
              <w:rPr>
                <w:rFonts w:cs="Arial"/>
                <w:sz w:val="24"/>
                <w:szCs w:val="24"/>
              </w:rPr>
              <w:t>Protect the village envelope and surroundings from light pollution</w:t>
            </w:r>
          </w:p>
        </w:tc>
      </w:tr>
      <w:tr w:rsidR="009B3FE4" w:rsidRPr="009B3FE4" w14:paraId="6AAB41A5" w14:textId="77777777" w:rsidTr="00E71124">
        <w:tc>
          <w:tcPr>
            <w:tcW w:w="9062" w:type="dxa"/>
            <w:gridSpan w:val="2"/>
            <w:shd w:val="clear" w:color="auto" w:fill="F2F2F2" w:themeFill="background1" w:themeFillShade="F2"/>
          </w:tcPr>
          <w:p w14:paraId="292AD146" w14:textId="77777777" w:rsidR="009B3FE4" w:rsidRPr="009B3FE4" w:rsidRDefault="009B3FE4" w:rsidP="009B3FE4">
            <w:pPr>
              <w:pStyle w:val="AFWBody"/>
              <w:rPr>
                <w:rFonts w:cs="Arial"/>
                <w:b/>
                <w:sz w:val="24"/>
                <w:szCs w:val="24"/>
              </w:rPr>
            </w:pPr>
            <w:r w:rsidRPr="009B3FE4">
              <w:rPr>
                <w:rFonts w:cs="Arial"/>
                <w:b/>
                <w:sz w:val="24"/>
                <w:szCs w:val="24"/>
              </w:rPr>
              <w:t>HOUSING</w:t>
            </w:r>
          </w:p>
        </w:tc>
      </w:tr>
      <w:tr w:rsidR="009B3FE4" w:rsidRPr="009B3FE4" w14:paraId="65857000" w14:textId="77777777" w:rsidTr="00E71124">
        <w:tc>
          <w:tcPr>
            <w:tcW w:w="1413" w:type="dxa"/>
          </w:tcPr>
          <w:p w14:paraId="47024CC4" w14:textId="77777777" w:rsidR="009B3FE4" w:rsidRPr="009B3FE4" w:rsidRDefault="009B3FE4" w:rsidP="009B3FE4">
            <w:pPr>
              <w:pStyle w:val="AFWBody"/>
              <w:rPr>
                <w:rFonts w:cs="Arial"/>
                <w:sz w:val="24"/>
                <w:szCs w:val="24"/>
              </w:rPr>
            </w:pPr>
            <w:r w:rsidRPr="009B3FE4">
              <w:rPr>
                <w:rFonts w:cs="Arial"/>
                <w:sz w:val="24"/>
                <w:szCs w:val="24"/>
              </w:rPr>
              <w:lastRenderedPageBreak/>
              <w:t xml:space="preserve">H1 </w:t>
            </w:r>
          </w:p>
        </w:tc>
        <w:tc>
          <w:tcPr>
            <w:tcW w:w="7649" w:type="dxa"/>
          </w:tcPr>
          <w:p w14:paraId="3E47DA10" w14:textId="77777777" w:rsidR="009B3FE4" w:rsidRPr="009B3FE4" w:rsidRDefault="009B3FE4" w:rsidP="009B3FE4">
            <w:pPr>
              <w:pStyle w:val="AFWBody"/>
              <w:rPr>
                <w:rFonts w:cs="Arial"/>
                <w:sz w:val="24"/>
                <w:szCs w:val="24"/>
              </w:rPr>
            </w:pPr>
            <w:r w:rsidRPr="009B3FE4">
              <w:rPr>
                <w:rFonts w:cs="Arial"/>
                <w:sz w:val="24"/>
                <w:szCs w:val="24"/>
              </w:rPr>
              <w:t xml:space="preserve">Respond to housing needs of residents and provide a proportionate contribution to meet SODC’s housing requirements </w:t>
            </w:r>
          </w:p>
        </w:tc>
      </w:tr>
      <w:tr w:rsidR="009B3FE4" w:rsidRPr="009B3FE4" w14:paraId="250EFA67" w14:textId="77777777" w:rsidTr="00E71124">
        <w:tc>
          <w:tcPr>
            <w:tcW w:w="9062" w:type="dxa"/>
            <w:gridSpan w:val="2"/>
            <w:shd w:val="clear" w:color="auto" w:fill="F2F2F2" w:themeFill="background1" w:themeFillShade="F2"/>
          </w:tcPr>
          <w:p w14:paraId="4B26A82F" w14:textId="77777777" w:rsidR="009B3FE4" w:rsidRPr="009B3FE4" w:rsidRDefault="009B3FE4" w:rsidP="009B3FE4">
            <w:pPr>
              <w:pStyle w:val="AFWBody"/>
              <w:rPr>
                <w:rFonts w:cs="Arial"/>
                <w:b/>
                <w:sz w:val="24"/>
                <w:szCs w:val="24"/>
              </w:rPr>
            </w:pPr>
            <w:r w:rsidRPr="009B3FE4">
              <w:rPr>
                <w:rFonts w:cs="Arial"/>
                <w:b/>
                <w:sz w:val="24"/>
                <w:szCs w:val="24"/>
              </w:rPr>
              <w:t xml:space="preserve">COMMUNITY </w:t>
            </w:r>
          </w:p>
        </w:tc>
      </w:tr>
      <w:tr w:rsidR="009B3FE4" w:rsidRPr="009B3FE4" w14:paraId="471510AB" w14:textId="77777777" w:rsidTr="00E71124">
        <w:tc>
          <w:tcPr>
            <w:tcW w:w="1413" w:type="dxa"/>
          </w:tcPr>
          <w:p w14:paraId="4AA90767" w14:textId="77777777" w:rsidR="009B3FE4" w:rsidRPr="009B3FE4" w:rsidRDefault="009B3FE4" w:rsidP="009B3FE4">
            <w:pPr>
              <w:pStyle w:val="AFWBody"/>
              <w:rPr>
                <w:rFonts w:cs="Arial"/>
                <w:sz w:val="24"/>
                <w:szCs w:val="24"/>
              </w:rPr>
            </w:pPr>
            <w:r w:rsidRPr="009B3FE4">
              <w:rPr>
                <w:rFonts w:cs="Arial"/>
                <w:sz w:val="24"/>
                <w:szCs w:val="24"/>
              </w:rPr>
              <w:t xml:space="preserve">CF1 </w:t>
            </w:r>
          </w:p>
        </w:tc>
        <w:tc>
          <w:tcPr>
            <w:tcW w:w="7649" w:type="dxa"/>
          </w:tcPr>
          <w:p w14:paraId="518DC6EB" w14:textId="77777777" w:rsidR="009B3FE4" w:rsidRPr="009B3FE4" w:rsidRDefault="009B3FE4" w:rsidP="009B3FE4">
            <w:pPr>
              <w:pStyle w:val="AFWBody"/>
              <w:rPr>
                <w:rFonts w:cs="Arial"/>
                <w:sz w:val="24"/>
                <w:szCs w:val="24"/>
              </w:rPr>
            </w:pPr>
            <w:r w:rsidRPr="009B3FE4">
              <w:rPr>
                <w:rFonts w:cs="Arial"/>
                <w:sz w:val="24"/>
                <w:szCs w:val="24"/>
              </w:rPr>
              <w:t xml:space="preserve">Ensure that village infrastructure and facilities support village life now and into the future. </w:t>
            </w:r>
          </w:p>
        </w:tc>
      </w:tr>
      <w:tr w:rsidR="009B3FE4" w:rsidRPr="009B3FE4" w14:paraId="7B1C2CCB" w14:textId="77777777" w:rsidTr="00E71124">
        <w:tc>
          <w:tcPr>
            <w:tcW w:w="9062" w:type="dxa"/>
            <w:gridSpan w:val="2"/>
            <w:shd w:val="clear" w:color="auto" w:fill="F2F2F2" w:themeFill="background1" w:themeFillShade="F2"/>
          </w:tcPr>
          <w:p w14:paraId="0E2D4E29" w14:textId="77777777" w:rsidR="009B3FE4" w:rsidRPr="009B3FE4" w:rsidRDefault="009B3FE4" w:rsidP="009B3FE4">
            <w:pPr>
              <w:pStyle w:val="AFWBody"/>
              <w:rPr>
                <w:rFonts w:cs="Arial"/>
                <w:b/>
                <w:sz w:val="24"/>
                <w:szCs w:val="24"/>
              </w:rPr>
            </w:pPr>
            <w:r w:rsidRPr="009B3FE4">
              <w:rPr>
                <w:rFonts w:cs="Arial"/>
                <w:b/>
                <w:sz w:val="24"/>
                <w:szCs w:val="24"/>
              </w:rPr>
              <w:t>TRANSPORT AND ACCESS</w:t>
            </w:r>
          </w:p>
        </w:tc>
      </w:tr>
      <w:tr w:rsidR="009B3FE4" w:rsidRPr="009B3FE4" w14:paraId="2901A712" w14:textId="77777777" w:rsidTr="00E71124">
        <w:tc>
          <w:tcPr>
            <w:tcW w:w="1413" w:type="dxa"/>
          </w:tcPr>
          <w:p w14:paraId="02EF66E7" w14:textId="77777777" w:rsidR="009B3FE4" w:rsidRPr="009B3FE4" w:rsidRDefault="009B3FE4" w:rsidP="009B3FE4">
            <w:pPr>
              <w:pStyle w:val="AFWBody"/>
              <w:rPr>
                <w:rFonts w:cs="Arial"/>
                <w:sz w:val="24"/>
                <w:szCs w:val="24"/>
              </w:rPr>
            </w:pPr>
            <w:r w:rsidRPr="009B3FE4">
              <w:rPr>
                <w:rFonts w:cs="Arial"/>
                <w:sz w:val="24"/>
                <w:szCs w:val="24"/>
              </w:rPr>
              <w:t>TA1</w:t>
            </w:r>
          </w:p>
        </w:tc>
        <w:tc>
          <w:tcPr>
            <w:tcW w:w="7649" w:type="dxa"/>
          </w:tcPr>
          <w:p w14:paraId="354B68D6" w14:textId="77777777" w:rsidR="009B3FE4" w:rsidRPr="009B3FE4" w:rsidRDefault="009B3FE4" w:rsidP="009B3FE4">
            <w:pPr>
              <w:pStyle w:val="AFWBody"/>
              <w:rPr>
                <w:rFonts w:cs="Arial"/>
                <w:sz w:val="24"/>
                <w:szCs w:val="24"/>
              </w:rPr>
            </w:pPr>
            <w:r w:rsidRPr="009B3FE4">
              <w:rPr>
                <w:rFonts w:cs="Arial"/>
                <w:sz w:val="24"/>
                <w:szCs w:val="24"/>
              </w:rPr>
              <w:t>Maintain and improve road safety for all road users.</w:t>
            </w:r>
          </w:p>
        </w:tc>
      </w:tr>
      <w:tr w:rsidR="009B3FE4" w:rsidRPr="009B3FE4" w14:paraId="0EF9D016" w14:textId="77777777" w:rsidTr="00E71124">
        <w:tc>
          <w:tcPr>
            <w:tcW w:w="1413" w:type="dxa"/>
          </w:tcPr>
          <w:p w14:paraId="3F733967" w14:textId="77777777" w:rsidR="009B3FE4" w:rsidRPr="009B3FE4" w:rsidRDefault="009B3FE4" w:rsidP="009B3FE4">
            <w:pPr>
              <w:pStyle w:val="AFWBody"/>
              <w:rPr>
                <w:rFonts w:cs="Arial"/>
                <w:sz w:val="24"/>
                <w:szCs w:val="24"/>
              </w:rPr>
            </w:pPr>
            <w:r w:rsidRPr="009B3FE4">
              <w:rPr>
                <w:rFonts w:cs="Arial"/>
                <w:sz w:val="24"/>
                <w:szCs w:val="24"/>
              </w:rPr>
              <w:t>TA2</w:t>
            </w:r>
          </w:p>
        </w:tc>
        <w:tc>
          <w:tcPr>
            <w:tcW w:w="7649" w:type="dxa"/>
          </w:tcPr>
          <w:p w14:paraId="426DF26B" w14:textId="77777777" w:rsidR="009B3FE4" w:rsidRPr="009B3FE4" w:rsidRDefault="009B3FE4" w:rsidP="009B3FE4">
            <w:pPr>
              <w:pStyle w:val="AFWBody"/>
              <w:rPr>
                <w:rFonts w:cs="Arial"/>
                <w:sz w:val="24"/>
                <w:szCs w:val="24"/>
              </w:rPr>
            </w:pPr>
            <w:r w:rsidRPr="009B3FE4">
              <w:rPr>
                <w:rFonts w:cs="Arial"/>
                <w:sz w:val="24"/>
                <w:szCs w:val="24"/>
              </w:rPr>
              <w:t>Promote mobility and maintain or enhance the quality of pavements without creating an urban appearance.</w:t>
            </w:r>
          </w:p>
        </w:tc>
      </w:tr>
      <w:tr w:rsidR="009B3FE4" w:rsidRPr="009B3FE4" w14:paraId="1F688448" w14:textId="77777777" w:rsidTr="00E71124">
        <w:tc>
          <w:tcPr>
            <w:tcW w:w="1413" w:type="dxa"/>
          </w:tcPr>
          <w:p w14:paraId="20B08DF9" w14:textId="77777777" w:rsidR="009B3FE4" w:rsidRPr="009B3FE4" w:rsidRDefault="009B3FE4" w:rsidP="009B3FE4">
            <w:pPr>
              <w:pStyle w:val="AFWBody"/>
              <w:rPr>
                <w:rFonts w:cs="Arial"/>
                <w:sz w:val="24"/>
                <w:szCs w:val="24"/>
              </w:rPr>
            </w:pPr>
            <w:r w:rsidRPr="009B3FE4">
              <w:rPr>
                <w:rFonts w:cs="Arial"/>
                <w:sz w:val="24"/>
                <w:szCs w:val="24"/>
              </w:rPr>
              <w:t>TA3</w:t>
            </w:r>
          </w:p>
        </w:tc>
        <w:tc>
          <w:tcPr>
            <w:tcW w:w="7649" w:type="dxa"/>
          </w:tcPr>
          <w:p w14:paraId="304342DA" w14:textId="77777777" w:rsidR="009B3FE4" w:rsidRPr="009B3FE4" w:rsidRDefault="009B3FE4" w:rsidP="009B3FE4">
            <w:pPr>
              <w:pStyle w:val="AFWBody"/>
              <w:rPr>
                <w:rFonts w:cs="Arial"/>
                <w:sz w:val="24"/>
                <w:szCs w:val="24"/>
              </w:rPr>
            </w:pPr>
            <w:r w:rsidRPr="009B3FE4">
              <w:rPr>
                <w:rFonts w:cs="Arial"/>
                <w:sz w:val="24"/>
                <w:szCs w:val="24"/>
              </w:rPr>
              <w:t>Ensure that new development does not add to the problem of on-street parking.</w:t>
            </w:r>
          </w:p>
        </w:tc>
      </w:tr>
      <w:tr w:rsidR="009B3FE4" w:rsidRPr="009B3FE4" w14:paraId="40A1E449" w14:textId="77777777" w:rsidTr="00E71124">
        <w:tc>
          <w:tcPr>
            <w:tcW w:w="9062" w:type="dxa"/>
            <w:gridSpan w:val="2"/>
            <w:shd w:val="clear" w:color="auto" w:fill="F2F2F2" w:themeFill="background1" w:themeFillShade="F2"/>
          </w:tcPr>
          <w:p w14:paraId="07A784E4" w14:textId="77777777" w:rsidR="009B3FE4" w:rsidRPr="009B3FE4" w:rsidRDefault="009B3FE4" w:rsidP="009B3FE4">
            <w:pPr>
              <w:pStyle w:val="AFWBody"/>
              <w:rPr>
                <w:rFonts w:cs="Arial"/>
                <w:b/>
                <w:sz w:val="24"/>
                <w:szCs w:val="24"/>
              </w:rPr>
            </w:pPr>
            <w:r w:rsidRPr="009B3FE4">
              <w:rPr>
                <w:rFonts w:cs="Arial"/>
                <w:b/>
                <w:sz w:val="24"/>
                <w:szCs w:val="24"/>
              </w:rPr>
              <w:t>GREEN SPACE, ENVIRONMENT AND CONSERVATION</w:t>
            </w:r>
          </w:p>
        </w:tc>
      </w:tr>
      <w:tr w:rsidR="009B3FE4" w:rsidRPr="009B3FE4" w14:paraId="1B7877CA" w14:textId="77777777" w:rsidTr="00E71124">
        <w:tc>
          <w:tcPr>
            <w:tcW w:w="1413" w:type="dxa"/>
          </w:tcPr>
          <w:p w14:paraId="1DBFACF9" w14:textId="77777777" w:rsidR="009B3FE4" w:rsidRPr="009B3FE4" w:rsidRDefault="009B3FE4" w:rsidP="009B3FE4">
            <w:pPr>
              <w:pStyle w:val="AFWBody"/>
              <w:rPr>
                <w:rFonts w:cs="Arial"/>
                <w:sz w:val="24"/>
                <w:szCs w:val="24"/>
              </w:rPr>
            </w:pPr>
            <w:r w:rsidRPr="009B3FE4">
              <w:rPr>
                <w:rFonts w:cs="Arial"/>
                <w:sz w:val="24"/>
                <w:szCs w:val="24"/>
              </w:rPr>
              <w:t xml:space="preserve">E1 </w:t>
            </w:r>
          </w:p>
        </w:tc>
        <w:tc>
          <w:tcPr>
            <w:tcW w:w="7649" w:type="dxa"/>
          </w:tcPr>
          <w:p w14:paraId="5D5B87E0" w14:textId="77777777" w:rsidR="009B3FE4" w:rsidRPr="009B3FE4" w:rsidRDefault="009B3FE4" w:rsidP="009B3FE4">
            <w:pPr>
              <w:pStyle w:val="AFWBody"/>
              <w:rPr>
                <w:rFonts w:cs="Arial"/>
                <w:sz w:val="24"/>
                <w:szCs w:val="24"/>
              </w:rPr>
            </w:pPr>
            <w:r w:rsidRPr="009B3FE4">
              <w:rPr>
                <w:rFonts w:cs="Arial"/>
                <w:sz w:val="24"/>
                <w:szCs w:val="24"/>
              </w:rPr>
              <w:t xml:space="preserve">Maintain and enhance green spaces for the health and wellbeing of the community </w:t>
            </w:r>
          </w:p>
        </w:tc>
      </w:tr>
      <w:tr w:rsidR="009B3FE4" w:rsidRPr="009B3FE4" w14:paraId="447A1715" w14:textId="77777777" w:rsidTr="00E71124">
        <w:tc>
          <w:tcPr>
            <w:tcW w:w="1413" w:type="dxa"/>
          </w:tcPr>
          <w:p w14:paraId="77984AEF" w14:textId="77777777" w:rsidR="009B3FE4" w:rsidRPr="009B3FE4" w:rsidRDefault="009B3FE4" w:rsidP="009B3FE4">
            <w:pPr>
              <w:pStyle w:val="AFWBody"/>
              <w:rPr>
                <w:rFonts w:cs="Arial"/>
                <w:sz w:val="24"/>
                <w:szCs w:val="24"/>
              </w:rPr>
            </w:pPr>
            <w:r w:rsidRPr="009B3FE4">
              <w:rPr>
                <w:rFonts w:cs="Arial"/>
                <w:sz w:val="24"/>
                <w:szCs w:val="24"/>
              </w:rPr>
              <w:t xml:space="preserve">E2 </w:t>
            </w:r>
          </w:p>
        </w:tc>
        <w:tc>
          <w:tcPr>
            <w:tcW w:w="7649" w:type="dxa"/>
          </w:tcPr>
          <w:p w14:paraId="287FA8C3" w14:textId="77777777" w:rsidR="009B3FE4" w:rsidRPr="009B3FE4" w:rsidRDefault="009B3FE4" w:rsidP="009B3FE4">
            <w:pPr>
              <w:pStyle w:val="AFWBody"/>
              <w:rPr>
                <w:rFonts w:cs="Arial"/>
                <w:sz w:val="24"/>
                <w:szCs w:val="24"/>
              </w:rPr>
            </w:pPr>
            <w:r w:rsidRPr="009B3FE4">
              <w:rPr>
                <w:rFonts w:cs="Arial"/>
                <w:sz w:val="24"/>
                <w:szCs w:val="24"/>
              </w:rPr>
              <w:t>Maintain and enhance biodiversity</w:t>
            </w:r>
          </w:p>
        </w:tc>
      </w:tr>
      <w:tr w:rsidR="009B3FE4" w:rsidRPr="009B3FE4" w14:paraId="1882A745" w14:textId="77777777" w:rsidTr="00E71124">
        <w:tc>
          <w:tcPr>
            <w:tcW w:w="1413" w:type="dxa"/>
          </w:tcPr>
          <w:p w14:paraId="1AD45D18" w14:textId="77777777" w:rsidR="009B3FE4" w:rsidRPr="009B3FE4" w:rsidRDefault="009B3FE4" w:rsidP="009B3FE4">
            <w:pPr>
              <w:pStyle w:val="AFWBody"/>
              <w:rPr>
                <w:rFonts w:cs="Arial"/>
                <w:sz w:val="24"/>
                <w:szCs w:val="24"/>
              </w:rPr>
            </w:pPr>
            <w:r w:rsidRPr="009B3FE4">
              <w:rPr>
                <w:rFonts w:cs="Arial"/>
                <w:sz w:val="24"/>
                <w:szCs w:val="24"/>
              </w:rPr>
              <w:t>E3</w:t>
            </w:r>
          </w:p>
        </w:tc>
        <w:tc>
          <w:tcPr>
            <w:tcW w:w="7649" w:type="dxa"/>
          </w:tcPr>
          <w:p w14:paraId="60041ABD" w14:textId="77777777" w:rsidR="009B3FE4" w:rsidRPr="009B3FE4" w:rsidRDefault="009B3FE4" w:rsidP="009B3FE4">
            <w:pPr>
              <w:pStyle w:val="AFWBody"/>
              <w:rPr>
                <w:rFonts w:cs="Arial"/>
                <w:sz w:val="24"/>
                <w:szCs w:val="24"/>
              </w:rPr>
            </w:pPr>
            <w:r w:rsidRPr="009B3FE4">
              <w:rPr>
                <w:rFonts w:cs="Arial"/>
                <w:sz w:val="24"/>
                <w:szCs w:val="24"/>
              </w:rPr>
              <w:t>Protect housing from flooding</w:t>
            </w:r>
          </w:p>
        </w:tc>
      </w:tr>
    </w:tbl>
    <w:p w14:paraId="3B3E800F" w14:textId="77777777" w:rsidR="009B3FE4" w:rsidRPr="0074347F" w:rsidRDefault="009B3FE4" w:rsidP="009F78D9">
      <w:pPr>
        <w:pStyle w:val="AFWBody"/>
        <w:rPr>
          <w:rFonts w:cs="Arial"/>
          <w:sz w:val="24"/>
          <w:szCs w:val="24"/>
        </w:rPr>
      </w:pPr>
    </w:p>
    <w:p w14:paraId="51FA9242" w14:textId="35F37FD4" w:rsidR="002F559E" w:rsidRDefault="00A036A1" w:rsidP="00EC5C2C">
      <w:pPr>
        <w:pStyle w:val="AFWBody"/>
        <w:rPr>
          <w:rFonts w:cs="Arial"/>
          <w:sz w:val="24"/>
          <w:szCs w:val="24"/>
        </w:rPr>
      </w:pPr>
      <w:r>
        <w:rPr>
          <w:rFonts w:cs="Arial"/>
          <w:sz w:val="24"/>
          <w:szCs w:val="24"/>
        </w:rPr>
        <w:t xml:space="preserve">The NDP contains a number of policies to help realise the Vision and Objectives </w:t>
      </w:r>
      <w:r w:rsidR="008B35A1" w:rsidRPr="0074347F">
        <w:rPr>
          <w:rFonts w:cs="Arial"/>
          <w:sz w:val="24"/>
          <w:szCs w:val="24"/>
        </w:rPr>
        <w:t xml:space="preserve">and help to deliver sustainable development.  </w:t>
      </w:r>
    </w:p>
    <w:p w14:paraId="5F6991EB" w14:textId="094597E2" w:rsidR="00B15D31" w:rsidRDefault="00C102FD" w:rsidP="00EC5C2C">
      <w:pPr>
        <w:pStyle w:val="AFWBody"/>
        <w:rPr>
          <w:rFonts w:cs="Arial"/>
          <w:sz w:val="24"/>
          <w:szCs w:val="24"/>
        </w:rPr>
      </w:pPr>
      <w:r>
        <w:rPr>
          <w:rFonts w:cs="Arial"/>
          <w:sz w:val="24"/>
          <w:szCs w:val="24"/>
        </w:rPr>
        <w:t xml:space="preserve">Policy SD1 directly addresses </w:t>
      </w:r>
      <w:r w:rsidR="00183E7C">
        <w:rPr>
          <w:rFonts w:cs="Arial"/>
          <w:sz w:val="24"/>
          <w:szCs w:val="24"/>
        </w:rPr>
        <w:t>sustainable development</w:t>
      </w:r>
      <w:r>
        <w:rPr>
          <w:rFonts w:cs="Arial"/>
          <w:sz w:val="24"/>
          <w:szCs w:val="24"/>
        </w:rPr>
        <w:t>, highlighting 9 specific areas where planning applications are expected to contribute, as appropriate, to sustainable development.</w:t>
      </w:r>
      <w:r w:rsidR="00054535">
        <w:rPr>
          <w:rFonts w:cs="Arial"/>
          <w:sz w:val="24"/>
          <w:szCs w:val="24"/>
        </w:rPr>
        <w:t xml:space="preserve"> Policies VC1a-c define three "Local Gaps" important to the </w:t>
      </w:r>
      <w:r w:rsidR="00183E7C">
        <w:rPr>
          <w:rFonts w:cs="Arial"/>
          <w:sz w:val="24"/>
          <w:szCs w:val="24"/>
        </w:rPr>
        <w:t>distinctive</w:t>
      </w:r>
      <w:r w:rsidR="00054535">
        <w:rPr>
          <w:rFonts w:cs="Arial"/>
          <w:sz w:val="24"/>
          <w:szCs w:val="24"/>
        </w:rPr>
        <w:t xml:space="preserve"> character of East Hagbourne. VC2 addresses views, while VC3 promotes good design and VC4 identifies assets of local distinctiveness. Together these contribute to protecting the landscape and character of the NDP area, while VC5 specifically addresses heritage assets.</w:t>
      </w:r>
      <w:r w:rsidR="00601589">
        <w:rPr>
          <w:rFonts w:cs="Arial"/>
          <w:sz w:val="24"/>
          <w:szCs w:val="24"/>
        </w:rPr>
        <w:t xml:space="preserve"> </w:t>
      </w:r>
      <w:r w:rsidR="00B15D31">
        <w:rPr>
          <w:rFonts w:cs="Arial"/>
          <w:sz w:val="24"/>
          <w:szCs w:val="24"/>
        </w:rPr>
        <w:t>VC6 addresses st</w:t>
      </w:r>
      <w:r w:rsidR="00183E7C">
        <w:rPr>
          <w:rFonts w:cs="Arial"/>
          <w:sz w:val="24"/>
          <w:szCs w:val="24"/>
        </w:rPr>
        <w:t>r</w:t>
      </w:r>
      <w:r w:rsidR="00B15D31">
        <w:rPr>
          <w:rFonts w:cs="Arial"/>
          <w:sz w:val="24"/>
          <w:szCs w:val="24"/>
        </w:rPr>
        <w:t xml:space="preserve">eet lighting which is </w:t>
      </w:r>
      <w:r w:rsidR="00183E7C">
        <w:rPr>
          <w:rFonts w:cs="Arial"/>
          <w:sz w:val="24"/>
          <w:szCs w:val="24"/>
        </w:rPr>
        <w:t>important</w:t>
      </w:r>
      <w:r w:rsidR="00B15D31">
        <w:rPr>
          <w:rFonts w:cs="Arial"/>
          <w:sz w:val="24"/>
          <w:szCs w:val="24"/>
        </w:rPr>
        <w:t xml:space="preserve"> for residents' health and wellbeing. </w:t>
      </w:r>
    </w:p>
    <w:p w14:paraId="2A2BEDE8" w14:textId="77777777" w:rsidR="00B15D31" w:rsidRDefault="00601589" w:rsidP="00EC5C2C">
      <w:pPr>
        <w:pStyle w:val="AFWBody"/>
        <w:rPr>
          <w:rFonts w:cs="Arial"/>
          <w:sz w:val="24"/>
          <w:szCs w:val="24"/>
        </w:rPr>
      </w:pPr>
      <w:r>
        <w:rPr>
          <w:rFonts w:cs="Arial"/>
          <w:sz w:val="24"/>
          <w:szCs w:val="24"/>
        </w:rPr>
        <w:t>Policies H1-H3 address housing needs and allocates a development site which exceeds the expectations of the Local Development Plan for a smaller village and will be supplemented by infill development. Policies CF1 &amp; CF2 require new developments to provide sufficient infrastructure and to avoid harming important community facilities</w:t>
      </w:r>
      <w:r w:rsidR="00B15D31">
        <w:rPr>
          <w:rFonts w:cs="Arial"/>
          <w:sz w:val="24"/>
          <w:szCs w:val="24"/>
        </w:rPr>
        <w:t>, while P</w:t>
      </w:r>
      <w:r>
        <w:rPr>
          <w:rFonts w:cs="Arial"/>
          <w:sz w:val="24"/>
          <w:szCs w:val="24"/>
        </w:rPr>
        <w:t xml:space="preserve">olicies TA1-TA3 address traffic and road safety including encouraging sustainable modes of transport. </w:t>
      </w:r>
    </w:p>
    <w:p w14:paraId="33CB3A69" w14:textId="59528795" w:rsidR="00054535" w:rsidRDefault="00601589" w:rsidP="00EC5C2C">
      <w:pPr>
        <w:pStyle w:val="AFWBody"/>
        <w:rPr>
          <w:rFonts w:cs="Arial"/>
          <w:sz w:val="24"/>
          <w:szCs w:val="24"/>
        </w:rPr>
      </w:pPr>
      <w:r>
        <w:rPr>
          <w:rFonts w:cs="Arial"/>
          <w:sz w:val="24"/>
          <w:szCs w:val="24"/>
        </w:rPr>
        <w:t>Policies E1-E3 address green spaces and environment, with E1 designating five areas within the village as Local Green Spaces. Policy E2 requires new developments to p</w:t>
      </w:r>
      <w:r w:rsidRPr="00601589">
        <w:rPr>
          <w:rFonts w:cs="Arial"/>
          <w:sz w:val="24"/>
          <w:szCs w:val="24"/>
        </w:rPr>
        <w:t>rotect and enhance biodiversity and the natural environment</w:t>
      </w:r>
      <w:r w:rsidR="00B15D31">
        <w:rPr>
          <w:rFonts w:cs="Arial"/>
          <w:sz w:val="24"/>
          <w:szCs w:val="24"/>
        </w:rPr>
        <w:t xml:space="preserve"> and</w:t>
      </w:r>
      <w:r>
        <w:rPr>
          <w:rFonts w:cs="Arial"/>
          <w:sz w:val="24"/>
          <w:szCs w:val="24"/>
        </w:rPr>
        <w:t xml:space="preserve"> E3 </w:t>
      </w:r>
      <w:r w:rsidR="00B15D31">
        <w:rPr>
          <w:rFonts w:cs="Arial"/>
          <w:sz w:val="24"/>
          <w:szCs w:val="24"/>
        </w:rPr>
        <w:t>addresses the risk of flooding in this low-lying area, an issue which is becoming more important as a result of climate change.</w:t>
      </w:r>
    </w:p>
    <w:p w14:paraId="3DC6D7B7" w14:textId="2ADD034D" w:rsidR="00C102FD" w:rsidRDefault="00C102FD" w:rsidP="00EC5C2C">
      <w:pPr>
        <w:pStyle w:val="AFWBody"/>
        <w:rPr>
          <w:rFonts w:cs="Arial"/>
          <w:sz w:val="24"/>
          <w:szCs w:val="24"/>
        </w:rPr>
      </w:pPr>
    </w:p>
    <w:p w14:paraId="7BD479D6" w14:textId="77777777" w:rsidR="00C76013" w:rsidRPr="0074347F" w:rsidRDefault="00C76013" w:rsidP="00EC5C2C">
      <w:pPr>
        <w:pStyle w:val="AFWBody"/>
        <w:rPr>
          <w:rFonts w:cs="Arial"/>
          <w:sz w:val="24"/>
          <w:szCs w:val="24"/>
        </w:rPr>
      </w:pPr>
    </w:p>
    <w:p w14:paraId="1F730707" w14:textId="609C7993" w:rsidR="007A3626" w:rsidRPr="00243E50" w:rsidRDefault="00243E50" w:rsidP="00243E50">
      <w:pPr>
        <w:pStyle w:val="AFWBody"/>
        <w:ind w:left="709" w:hanging="709"/>
        <w:rPr>
          <w:b/>
          <w:sz w:val="24"/>
          <w:szCs w:val="24"/>
        </w:rPr>
      </w:pPr>
      <w:bookmarkStart w:id="3" w:name="_Toc486410881"/>
      <w:r w:rsidRPr="00243E50">
        <w:rPr>
          <w:b/>
          <w:sz w:val="24"/>
          <w:szCs w:val="24"/>
        </w:rPr>
        <w:lastRenderedPageBreak/>
        <w:t>2.2</w:t>
      </w:r>
      <w:r w:rsidRPr="00243E50">
        <w:rPr>
          <w:b/>
          <w:sz w:val="24"/>
          <w:szCs w:val="24"/>
        </w:rPr>
        <w:tab/>
      </w:r>
      <w:r w:rsidR="008B35A1" w:rsidRPr="00243E50">
        <w:rPr>
          <w:b/>
          <w:sz w:val="24"/>
          <w:szCs w:val="24"/>
        </w:rPr>
        <w:t>Environmental and Sustainability Considerations in the S</w:t>
      </w:r>
      <w:r w:rsidR="004A1F95" w:rsidRPr="00243E50">
        <w:rPr>
          <w:b/>
          <w:sz w:val="24"/>
          <w:szCs w:val="24"/>
        </w:rPr>
        <w:t>E</w:t>
      </w:r>
      <w:r w:rsidR="008B35A1" w:rsidRPr="00243E50">
        <w:rPr>
          <w:b/>
          <w:sz w:val="24"/>
          <w:szCs w:val="24"/>
        </w:rPr>
        <w:t>A</w:t>
      </w:r>
      <w:bookmarkEnd w:id="3"/>
    </w:p>
    <w:p w14:paraId="409AB2C9" w14:textId="394367B8" w:rsidR="00183E7C" w:rsidRPr="0074347F" w:rsidRDefault="00183E7C" w:rsidP="00183E7C">
      <w:pPr>
        <w:pStyle w:val="AFWBody"/>
        <w:rPr>
          <w:rFonts w:cs="Arial"/>
          <w:sz w:val="24"/>
          <w:szCs w:val="24"/>
        </w:rPr>
      </w:pPr>
      <w:r w:rsidRPr="00721B44">
        <w:rPr>
          <w:rFonts w:cs="Arial"/>
          <w:sz w:val="24"/>
          <w:szCs w:val="24"/>
        </w:rPr>
        <w:t xml:space="preserve">To provide the context for the SEA, and in compliance with the SEA Directive, a proportionate review of other relevant plans and programmes was undertaken and the relevant aspects of the current state of the environment and its evolution without the NDP were considered; together, they informed the identification of a series of key sustainability issues.  This information was set out in the Scoping Report </w:t>
      </w:r>
      <w:r w:rsidR="00721B44" w:rsidRPr="00721B44">
        <w:rPr>
          <w:rFonts w:cs="Arial"/>
          <w:sz w:val="24"/>
          <w:szCs w:val="24"/>
        </w:rPr>
        <w:t>(2018) and</w:t>
      </w:r>
      <w:r w:rsidRPr="00721B44">
        <w:rPr>
          <w:rFonts w:cs="Arial"/>
          <w:sz w:val="24"/>
          <w:szCs w:val="24"/>
        </w:rPr>
        <w:t xml:space="preserve"> informed the Environmental Report.</w:t>
      </w:r>
      <w:r w:rsidRPr="0074347F">
        <w:rPr>
          <w:rFonts w:cs="Arial"/>
          <w:sz w:val="24"/>
          <w:szCs w:val="24"/>
        </w:rPr>
        <w:t xml:space="preserve">  </w:t>
      </w:r>
    </w:p>
    <w:p w14:paraId="50B448BA" w14:textId="0370BCC1" w:rsidR="008B35A1" w:rsidRPr="0074347F" w:rsidRDefault="004A1F95" w:rsidP="004A1F95">
      <w:pPr>
        <w:pStyle w:val="AFWBody"/>
        <w:rPr>
          <w:rFonts w:cs="Arial"/>
          <w:sz w:val="24"/>
          <w:szCs w:val="24"/>
        </w:rPr>
      </w:pPr>
      <w:r w:rsidRPr="00407CBD">
        <w:rPr>
          <w:rFonts w:cs="Arial"/>
          <w:sz w:val="24"/>
          <w:szCs w:val="24"/>
        </w:rPr>
        <w:t xml:space="preserve">The key sustainability issues identified </w:t>
      </w:r>
      <w:r w:rsidR="00721B44" w:rsidRPr="0074347F">
        <w:rPr>
          <w:rFonts w:cs="Arial"/>
          <w:sz w:val="24"/>
          <w:szCs w:val="24"/>
        </w:rPr>
        <w:t xml:space="preserve">through the review of plans and programmes and analysis of baseline information </w:t>
      </w:r>
      <w:r w:rsidR="00407CBD">
        <w:rPr>
          <w:rFonts w:cs="Arial"/>
          <w:sz w:val="24"/>
          <w:szCs w:val="24"/>
        </w:rPr>
        <w:t xml:space="preserve">as important for the East Hagbourne Neighbourhood </w:t>
      </w:r>
      <w:r w:rsidR="00183E7C">
        <w:rPr>
          <w:rFonts w:cs="Arial"/>
          <w:sz w:val="24"/>
          <w:szCs w:val="24"/>
        </w:rPr>
        <w:t>D</w:t>
      </w:r>
      <w:r w:rsidR="00407CBD">
        <w:rPr>
          <w:rFonts w:cs="Arial"/>
          <w:sz w:val="24"/>
          <w:szCs w:val="24"/>
        </w:rPr>
        <w:t>evelopment Plan</w:t>
      </w:r>
      <w:r w:rsidR="00721B44">
        <w:rPr>
          <w:rFonts w:cs="Arial"/>
          <w:sz w:val="24"/>
          <w:szCs w:val="24"/>
        </w:rPr>
        <w:t>,</w:t>
      </w:r>
      <w:r w:rsidR="00407CBD">
        <w:rPr>
          <w:rFonts w:cs="Arial"/>
          <w:sz w:val="24"/>
          <w:szCs w:val="24"/>
        </w:rPr>
        <w:t xml:space="preserve"> </w:t>
      </w:r>
      <w:r w:rsidR="00721B44" w:rsidRPr="0074347F">
        <w:rPr>
          <w:rFonts w:cs="Arial"/>
          <w:sz w:val="24"/>
          <w:szCs w:val="24"/>
        </w:rPr>
        <w:t xml:space="preserve">informed, and were reflected in, the objectives and criteria that comprised the framework used to appraise the NDP (the SEA Framework) </w:t>
      </w:r>
      <w:r w:rsidR="00721B44">
        <w:rPr>
          <w:rFonts w:cs="Arial"/>
          <w:sz w:val="24"/>
          <w:szCs w:val="24"/>
        </w:rPr>
        <w:t>(see</w:t>
      </w:r>
      <w:r w:rsidR="00407CBD">
        <w:rPr>
          <w:rFonts w:cs="Arial"/>
          <w:sz w:val="24"/>
          <w:szCs w:val="24"/>
        </w:rPr>
        <w:t xml:space="preserve"> </w:t>
      </w:r>
      <w:r w:rsidRPr="00407CBD">
        <w:rPr>
          <w:rFonts w:cs="Arial"/>
          <w:b/>
          <w:sz w:val="24"/>
          <w:szCs w:val="24"/>
        </w:rPr>
        <w:t>Table 2.1</w:t>
      </w:r>
      <w:r w:rsidR="00721B44">
        <w:rPr>
          <w:rFonts w:cs="Arial"/>
          <w:b/>
          <w:sz w:val="24"/>
          <w:szCs w:val="24"/>
        </w:rPr>
        <w:t>)</w:t>
      </w:r>
      <w:r w:rsidRPr="00407CBD">
        <w:rPr>
          <w:rFonts w:cs="Arial"/>
          <w:sz w:val="24"/>
          <w:szCs w:val="24"/>
        </w:rPr>
        <w:t>.  Broadly, the S</w:t>
      </w:r>
      <w:r w:rsidR="0025647B" w:rsidRPr="00407CBD">
        <w:rPr>
          <w:rFonts w:cs="Arial"/>
          <w:sz w:val="24"/>
          <w:szCs w:val="24"/>
        </w:rPr>
        <w:t>E</w:t>
      </w:r>
      <w:r w:rsidRPr="00407CBD">
        <w:rPr>
          <w:rFonts w:cs="Arial"/>
          <w:sz w:val="24"/>
          <w:szCs w:val="24"/>
        </w:rPr>
        <w:t>A objectives presented the preferred sustainability outcome which usually involved minimising detrimental effects and enhancing positive effects.</w:t>
      </w:r>
    </w:p>
    <w:p w14:paraId="2F56F63E" w14:textId="77777777" w:rsidR="0025647B" w:rsidRPr="00A3005F" w:rsidRDefault="0025647B" w:rsidP="0025647B">
      <w:pPr>
        <w:pStyle w:val="AFWTableTitleBW"/>
        <w:rPr>
          <w:rFonts w:cs="Arial"/>
          <w:b/>
          <w:sz w:val="24"/>
          <w:szCs w:val="24"/>
        </w:rPr>
      </w:pPr>
      <w:r w:rsidRPr="00A3005F">
        <w:rPr>
          <w:rFonts w:cs="Arial"/>
          <w:b/>
          <w:sz w:val="24"/>
          <w:szCs w:val="24"/>
        </w:rPr>
        <w:t>Table 2.1: The SEA Framework</w:t>
      </w:r>
    </w:p>
    <w:p w14:paraId="3E815156" w14:textId="5E65DBBF" w:rsidR="00407CBD" w:rsidRDefault="00407CBD" w:rsidP="0025647B">
      <w:pPr>
        <w:pStyle w:val="AFWTableTitleBW"/>
        <w:rPr>
          <w:rFonts w:cs="Arial"/>
          <w:sz w:val="24"/>
          <w:szCs w:val="24"/>
        </w:rPr>
      </w:pPr>
      <w:r w:rsidRPr="00407CBD">
        <w:rPr>
          <w:rFonts w:cs="Arial"/>
          <w:noProof/>
          <w:sz w:val="24"/>
          <w:szCs w:val="24"/>
        </w:rPr>
        <w:drawing>
          <wp:inline distT="0" distB="0" distL="0" distR="0" wp14:anchorId="42999C6E" wp14:editId="333D5E1F">
            <wp:extent cx="5976874" cy="448114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717" cy="4493023"/>
                    </a:xfrm>
                    <a:prstGeom prst="rect">
                      <a:avLst/>
                    </a:prstGeom>
                    <a:noFill/>
                    <a:ln>
                      <a:noFill/>
                    </a:ln>
                  </pic:spPr>
                </pic:pic>
              </a:graphicData>
            </a:graphic>
          </wp:inline>
        </w:drawing>
      </w:r>
      <w:r w:rsidRPr="00407CBD" w:rsidDel="00407CBD">
        <w:rPr>
          <w:rFonts w:cs="Arial"/>
          <w:sz w:val="24"/>
          <w:szCs w:val="24"/>
        </w:rPr>
        <w:t xml:space="preserve"> </w:t>
      </w:r>
    </w:p>
    <w:p w14:paraId="20440AEC" w14:textId="6BF8F1FE" w:rsidR="00274EF7" w:rsidRPr="0074347F" w:rsidRDefault="00274EF7" w:rsidP="00274EF7">
      <w:pPr>
        <w:pStyle w:val="AFWBody"/>
        <w:rPr>
          <w:rFonts w:cs="Arial"/>
          <w:sz w:val="24"/>
          <w:szCs w:val="24"/>
        </w:rPr>
      </w:pPr>
      <w:r w:rsidRPr="0074347F">
        <w:rPr>
          <w:rFonts w:cs="Arial"/>
          <w:sz w:val="24"/>
          <w:szCs w:val="24"/>
        </w:rPr>
        <w:t>The S</w:t>
      </w:r>
      <w:r w:rsidR="00A97148" w:rsidRPr="0074347F">
        <w:rPr>
          <w:rFonts w:cs="Arial"/>
          <w:sz w:val="24"/>
          <w:szCs w:val="24"/>
        </w:rPr>
        <w:t>E</w:t>
      </w:r>
      <w:r w:rsidRPr="0074347F">
        <w:rPr>
          <w:rFonts w:cs="Arial"/>
          <w:sz w:val="24"/>
          <w:szCs w:val="24"/>
        </w:rPr>
        <w:t xml:space="preserve">A process considered the contribution of the </w:t>
      </w:r>
      <w:r w:rsidR="00A97148" w:rsidRPr="0074347F">
        <w:rPr>
          <w:rFonts w:cs="Arial"/>
          <w:sz w:val="24"/>
          <w:szCs w:val="24"/>
        </w:rPr>
        <w:t>NDP</w:t>
      </w:r>
      <w:r w:rsidRPr="0074347F">
        <w:rPr>
          <w:rFonts w:cs="Arial"/>
          <w:sz w:val="24"/>
          <w:szCs w:val="24"/>
        </w:rPr>
        <w:t xml:space="preserve"> towards each of the appraisal objectives, drawing on the baseline information to predict the likely significant effects in line with the Office of the Deputy Prime Minister (now </w:t>
      </w:r>
      <w:r w:rsidR="00D41ECE">
        <w:rPr>
          <w:rFonts w:cs="Arial"/>
          <w:sz w:val="24"/>
          <w:szCs w:val="24"/>
        </w:rPr>
        <w:t xml:space="preserve">Ministry </w:t>
      </w:r>
      <w:r w:rsidR="00486CCA">
        <w:rPr>
          <w:rFonts w:cs="Arial"/>
          <w:sz w:val="24"/>
          <w:szCs w:val="24"/>
        </w:rPr>
        <w:t>of</w:t>
      </w:r>
      <w:r w:rsidR="00D41ECE">
        <w:rPr>
          <w:rFonts w:cs="Arial"/>
          <w:sz w:val="24"/>
          <w:szCs w:val="24"/>
        </w:rPr>
        <w:t xml:space="preserve"> Housing, </w:t>
      </w:r>
      <w:r w:rsidRPr="0074347F">
        <w:rPr>
          <w:rFonts w:cs="Arial"/>
          <w:sz w:val="24"/>
          <w:szCs w:val="24"/>
        </w:rPr>
        <w:t xml:space="preserve">Communities </w:t>
      </w:r>
      <w:r w:rsidRPr="0074347F">
        <w:rPr>
          <w:rFonts w:cs="Arial"/>
          <w:sz w:val="24"/>
          <w:szCs w:val="24"/>
        </w:rPr>
        <w:lastRenderedPageBreak/>
        <w:t>and Local Government) Practical Guide to the SEA Directive</w:t>
      </w:r>
      <w:bookmarkStart w:id="4" w:name="_Ref484446705"/>
      <w:r w:rsidRPr="0074347F">
        <w:rPr>
          <w:rStyle w:val="FootnoteReference"/>
          <w:rFonts w:cs="Arial"/>
          <w:sz w:val="24"/>
          <w:szCs w:val="24"/>
        </w:rPr>
        <w:footnoteReference w:id="1"/>
      </w:r>
      <w:bookmarkEnd w:id="4"/>
      <w:r w:rsidRPr="0074347F">
        <w:rPr>
          <w:rFonts w:cs="Arial"/>
          <w:sz w:val="24"/>
          <w:szCs w:val="24"/>
        </w:rPr>
        <w:t xml:space="preserve">.  Specifically, the following key components of the </w:t>
      </w:r>
      <w:r w:rsidR="00A97148" w:rsidRPr="0074347F">
        <w:rPr>
          <w:rFonts w:cs="Arial"/>
          <w:sz w:val="24"/>
          <w:szCs w:val="24"/>
        </w:rPr>
        <w:t>NDP</w:t>
      </w:r>
      <w:r w:rsidRPr="0074347F">
        <w:rPr>
          <w:rFonts w:cs="Arial"/>
          <w:sz w:val="24"/>
          <w:szCs w:val="24"/>
        </w:rPr>
        <w:t xml:space="preserve"> were appraised against the S</w:t>
      </w:r>
      <w:r w:rsidR="00A97148" w:rsidRPr="0074347F">
        <w:rPr>
          <w:rFonts w:cs="Arial"/>
          <w:sz w:val="24"/>
          <w:szCs w:val="24"/>
        </w:rPr>
        <w:t>E</w:t>
      </w:r>
      <w:r w:rsidRPr="0074347F">
        <w:rPr>
          <w:rFonts w:cs="Arial"/>
          <w:sz w:val="24"/>
          <w:szCs w:val="24"/>
        </w:rPr>
        <w:t>A objectives:</w:t>
      </w:r>
    </w:p>
    <w:p w14:paraId="273D7501" w14:textId="2E80E2E1" w:rsidR="00A97148" w:rsidRPr="00AE506E" w:rsidRDefault="00A97148" w:rsidP="007721F2">
      <w:pPr>
        <w:pStyle w:val="AFWBulletsBW"/>
        <w:numPr>
          <w:ilvl w:val="0"/>
          <w:numId w:val="13"/>
        </w:numPr>
        <w:rPr>
          <w:rFonts w:cs="Arial"/>
          <w:sz w:val="24"/>
          <w:szCs w:val="24"/>
        </w:rPr>
      </w:pPr>
      <w:r w:rsidRPr="00AE506E">
        <w:rPr>
          <w:rFonts w:cs="Arial"/>
          <w:sz w:val="24"/>
          <w:szCs w:val="24"/>
        </w:rPr>
        <w:t>Policies in the NDP;</w:t>
      </w:r>
    </w:p>
    <w:p w14:paraId="1F9893BA" w14:textId="218CAD14" w:rsidR="00AE506E" w:rsidRPr="00AE506E" w:rsidRDefault="00AE506E" w:rsidP="007721F2">
      <w:pPr>
        <w:pStyle w:val="AFWBulletsBW"/>
        <w:numPr>
          <w:ilvl w:val="0"/>
          <w:numId w:val="13"/>
        </w:numPr>
        <w:rPr>
          <w:rFonts w:cs="Arial"/>
          <w:sz w:val="24"/>
          <w:szCs w:val="24"/>
        </w:rPr>
      </w:pPr>
      <w:r w:rsidRPr="00AE506E">
        <w:rPr>
          <w:rFonts w:cs="Arial"/>
          <w:sz w:val="24"/>
          <w:szCs w:val="24"/>
        </w:rPr>
        <w:t>Housing growth scenarios</w:t>
      </w:r>
      <w:r>
        <w:rPr>
          <w:rFonts w:cs="Arial"/>
          <w:sz w:val="24"/>
          <w:szCs w:val="24"/>
        </w:rPr>
        <w:t>;</w:t>
      </w:r>
    </w:p>
    <w:p w14:paraId="7BBE6746" w14:textId="2CB61A57" w:rsidR="00274EF7" w:rsidRPr="00AE506E" w:rsidRDefault="00A97148" w:rsidP="007721F2">
      <w:pPr>
        <w:pStyle w:val="AFWBulletsBW"/>
        <w:numPr>
          <w:ilvl w:val="0"/>
          <w:numId w:val="13"/>
        </w:numPr>
        <w:rPr>
          <w:rFonts w:cs="Arial"/>
          <w:sz w:val="24"/>
          <w:szCs w:val="24"/>
        </w:rPr>
      </w:pPr>
      <w:r w:rsidRPr="00AE506E">
        <w:rPr>
          <w:rFonts w:cs="Arial"/>
          <w:sz w:val="24"/>
          <w:szCs w:val="24"/>
        </w:rPr>
        <w:t>Site allocation</w:t>
      </w:r>
      <w:r w:rsidR="00AE506E" w:rsidRPr="00AE506E">
        <w:rPr>
          <w:rFonts w:cs="Arial"/>
          <w:sz w:val="24"/>
          <w:szCs w:val="24"/>
        </w:rPr>
        <w:t xml:space="preserve"> options </w:t>
      </w:r>
      <w:r w:rsidRPr="00AE506E">
        <w:rPr>
          <w:rFonts w:cs="Arial"/>
          <w:sz w:val="24"/>
          <w:szCs w:val="24"/>
        </w:rPr>
        <w:t>(including reasonable alternatives).</w:t>
      </w:r>
    </w:p>
    <w:p w14:paraId="5F5B7A5C" w14:textId="77777777" w:rsidR="00EC0C10" w:rsidRDefault="00EC0C10" w:rsidP="00EC0C10">
      <w:pPr>
        <w:pStyle w:val="AFWBody"/>
        <w:rPr>
          <w:rFonts w:cs="Arial"/>
          <w:sz w:val="24"/>
          <w:szCs w:val="24"/>
        </w:rPr>
      </w:pPr>
    </w:p>
    <w:p w14:paraId="1D146DBA" w14:textId="6585F6D7" w:rsidR="00EC0C10" w:rsidRDefault="00EC0C10" w:rsidP="00EC0C10">
      <w:pPr>
        <w:pStyle w:val="AFWBody"/>
        <w:rPr>
          <w:rFonts w:cs="Arial"/>
          <w:sz w:val="24"/>
          <w:szCs w:val="24"/>
        </w:rPr>
      </w:pPr>
      <w:r w:rsidRPr="0074347F">
        <w:rPr>
          <w:rFonts w:cs="Arial"/>
          <w:sz w:val="24"/>
          <w:szCs w:val="24"/>
        </w:rPr>
        <w:t xml:space="preserve">The appraisal identified the likely changes to the baseline conditions as a result of the NDP’s implementation.  These effects were described (where possible) in terms of their extent, the timescale over which they could occur, whether the effects would be temporary or permanent, positive or negative, short, medium and/or long-term.  </w:t>
      </w:r>
      <w:r>
        <w:rPr>
          <w:rFonts w:cs="Arial"/>
          <w:sz w:val="24"/>
          <w:szCs w:val="24"/>
        </w:rPr>
        <w:t>The potential for s</w:t>
      </w:r>
      <w:r w:rsidRPr="0074347F">
        <w:rPr>
          <w:rFonts w:cs="Arial"/>
          <w:sz w:val="24"/>
          <w:szCs w:val="24"/>
        </w:rPr>
        <w:t>econdary, synergistic and cumulative effects were also considered</w:t>
      </w:r>
      <w:r>
        <w:rPr>
          <w:rFonts w:cs="Arial"/>
          <w:sz w:val="24"/>
          <w:szCs w:val="24"/>
        </w:rPr>
        <w:t xml:space="preserve"> and reported where relevant</w:t>
      </w:r>
      <w:r w:rsidRPr="0074347F">
        <w:rPr>
          <w:rFonts w:cs="Arial"/>
          <w:sz w:val="24"/>
          <w:szCs w:val="24"/>
        </w:rPr>
        <w:t>.</w:t>
      </w:r>
    </w:p>
    <w:p w14:paraId="61932882" w14:textId="77777777" w:rsidR="00EC0C10" w:rsidRDefault="00EC0C10" w:rsidP="00E54DA1">
      <w:pPr>
        <w:pStyle w:val="AFWBody"/>
        <w:rPr>
          <w:rFonts w:cs="Arial"/>
          <w:sz w:val="24"/>
          <w:szCs w:val="24"/>
        </w:rPr>
      </w:pPr>
    </w:p>
    <w:p w14:paraId="026C4489" w14:textId="5C2E77A2" w:rsidR="00750249" w:rsidRPr="00243E50" w:rsidRDefault="009A62A2" w:rsidP="00243E50">
      <w:pPr>
        <w:pStyle w:val="AFWBody"/>
        <w:ind w:left="709" w:hanging="709"/>
        <w:rPr>
          <w:b/>
          <w:sz w:val="24"/>
          <w:szCs w:val="24"/>
        </w:rPr>
      </w:pPr>
      <w:r w:rsidRPr="00243E50">
        <w:br w:type="page"/>
      </w:r>
      <w:r w:rsidR="00243E50" w:rsidRPr="00243E50">
        <w:rPr>
          <w:b/>
          <w:sz w:val="24"/>
          <w:szCs w:val="24"/>
        </w:rPr>
        <w:lastRenderedPageBreak/>
        <w:t>3</w:t>
      </w:r>
      <w:r w:rsidR="00243E50">
        <w:tab/>
      </w:r>
      <w:r w:rsidR="006E1A8C" w:rsidRPr="00243E50">
        <w:rPr>
          <w:b/>
          <w:sz w:val="24"/>
          <w:szCs w:val="24"/>
        </w:rPr>
        <w:t xml:space="preserve">HOW THE </w:t>
      </w:r>
      <w:r w:rsidR="00BF1126" w:rsidRPr="00243E50">
        <w:rPr>
          <w:b/>
          <w:sz w:val="24"/>
          <w:szCs w:val="24"/>
        </w:rPr>
        <w:t>ENVIRONMENTAL</w:t>
      </w:r>
      <w:r w:rsidR="006E1A8C" w:rsidRPr="00243E50">
        <w:rPr>
          <w:b/>
          <w:sz w:val="24"/>
          <w:szCs w:val="24"/>
        </w:rPr>
        <w:t xml:space="preserve"> REPORT HAS BEEN TAKEN INTO ACCOUNT</w:t>
      </w:r>
    </w:p>
    <w:p w14:paraId="0E8DFB76" w14:textId="41FEFCF4" w:rsidR="009F3A39" w:rsidRPr="00A3005F" w:rsidRDefault="00EC5C2C" w:rsidP="00A3005F">
      <w:pPr>
        <w:pStyle w:val="AFWBody"/>
        <w:rPr>
          <w:b/>
          <w:sz w:val="24"/>
          <w:szCs w:val="24"/>
        </w:rPr>
      </w:pPr>
      <w:r w:rsidRPr="00A3005F">
        <w:rPr>
          <w:b/>
          <w:sz w:val="24"/>
          <w:szCs w:val="24"/>
        </w:rPr>
        <w:t>3.1</w:t>
      </w:r>
      <w:r w:rsidRPr="00A3005F">
        <w:rPr>
          <w:b/>
          <w:sz w:val="24"/>
          <w:szCs w:val="24"/>
        </w:rPr>
        <w:tab/>
        <w:t>Overview</w:t>
      </w:r>
    </w:p>
    <w:p w14:paraId="7F911152" w14:textId="24FF47C8" w:rsidR="00EC0C10" w:rsidRDefault="009F3A39" w:rsidP="009F3A39">
      <w:pPr>
        <w:pStyle w:val="AFWIntroBW"/>
        <w:rPr>
          <w:rFonts w:cs="Arial"/>
          <w:szCs w:val="24"/>
        </w:rPr>
      </w:pPr>
      <w:r w:rsidRPr="0074347F">
        <w:rPr>
          <w:rFonts w:cs="Arial"/>
          <w:szCs w:val="24"/>
        </w:rPr>
        <w:t>The development of the NDP has been iterative</w:t>
      </w:r>
      <w:r w:rsidR="009444A0">
        <w:rPr>
          <w:rFonts w:cs="Arial"/>
          <w:szCs w:val="24"/>
        </w:rPr>
        <w:t xml:space="preserve"> and has benefitted from extensive consultation and advice from </w:t>
      </w:r>
      <w:r w:rsidR="009444A0" w:rsidRPr="00C76013">
        <w:rPr>
          <w:rFonts w:cs="Arial"/>
          <w:szCs w:val="24"/>
        </w:rPr>
        <w:t xml:space="preserve">SODC.  </w:t>
      </w:r>
      <w:r w:rsidR="00EC0C10" w:rsidRPr="00C76013">
        <w:rPr>
          <w:rFonts w:cs="Arial"/>
          <w:szCs w:val="24"/>
        </w:rPr>
        <w:t xml:space="preserve">SEA has played an integral role in this iterative process with each of the following NDP stages having been accompanied by an Environmental Report in order to help inform the Plan and fully integrate environmental and sustainability considerations into decision making.  </w:t>
      </w:r>
      <w:r w:rsidR="00EC0C10" w:rsidRPr="00C76013">
        <w:rPr>
          <w:rFonts w:cs="Arial"/>
          <w:b/>
          <w:szCs w:val="24"/>
        </w:rPr>
        <w:t>Table 3.1</w:t>
      </w:r>
      <w:r w:rsidR="00EC0C10" w:rsidRPr="00C76013">
        <w:rPr>
          <w:rFonts w:cs="Arial"/>
          <w:szCs w:val="24"/>
        </w:rPr>
        <w:t xml:space="preserve"> below lists the iterations of the NDP, corresponding Environmental Reports and key conclusions from the Environmental Report</w:t>
      </w:r>
    </w:p>
    <w:p w14:paraId="7EBD6B84" w14:textId="792C548B" w:rsidR="009F3A39" w:rsidRPr="0074347F" w:rsidRDefault="009F3A39" w:rsidP="00142879">
      <w:pPr>
        <w:pStyle w:val="AFWIntroBW"/>
        <w:rPr>
          <w:rFonts w:cs="Arial"/>
          <w:szCs w:val="24"/>
        </w:rPr>
      </w:pPr>
      <w:bookmarkStart w:id="5" w:name="_Hlk511403115"/>
      <w:r w:rsidRPr="00905EB7">
        <w:rPr>
          <w:rFonts w:cs="Arial"/>
          <w:b/>
          <w:szCs w:val="24"/>
        </w:rPr>
        <w:t>Table 3.1 Summary of SEA Iterations</w:t>
      </w:r>
      <w:r w:rsidR="006E1A8C" w:rsidRPr="00905EB7">
        <w:rPr>
          <w:rFonts w:cs="Arial"/>
          <w:szCs w:val="24"/>
        </w:rPr>
        <w:t xml:space="preserve"> </w:t>
      </w:r>
      <w:bookmarkEnd w:id="5"/>
    </w:p>
    <w:tbl>
      <w:tblPr>
        <w:tblStyle w:val="AmecFosterWheelerReportTableBW"/>
        <w:tblW w:w="0" w:type="auto"/>
        <w:tblLook w:val="04A0" w:firstRow="1" w:lastRow="0" w:firstColumn="1" w:lastColumn="0" w:noHBand="0" w:noVBand="1"/>
      </w:tblPr>
      <w:tblGrid>
        <w:gridCol w:w="2581"/>
        <w:gridCol w:w="2551"/>
        <w:gridCol w:w="4393"/>
      </w:tblGrid>
      <w:tr w:rsidR="009F3A39" w:rsidRPr="0074347F" w14:paraId="2C78EEF3" w14:textId="77777777" w:rsidTr="00A3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43D2A941" w14:textId="1A8FFA2B" w:rsidR="009F3A39" w:rsidRPr="0074347F" w:rsidRDefault="00486CCA">
            <w:pPr>
              <w:pStyle w:val="AFWBulletsBW"/>
              <w:numPr>
                <w:ilvl w:val="0"/>
                <w:numId w:val="0"/>
              </w:numPr>
              <w:rPr>
                <w:rFonts w:cs="Arial"/>
                <w:sz w:val="24"/>
                <w:szCs w:val="24"/>
              </w:rPr>
            </w:pPr>
            <w:bookmarkStart w:id="6" w:name="_Hlk511403097"/>
            <w:r>
              <w:rPr>
                <w:rFonts w:cs="Arial"/>
                <w:sz w:val="24"/>
                <w:szCs w:val="24"/>
              </w:rPr>
              <w:t>Report</w:t>
            </w:r>
            <w:r w:rsidRPr="0074347F">
              <w:rPr>
                <w:rFonts w:cs="Arial"/>
                <w:sz w:val="24"/>
                <w:szCs w:val="24"/>
              </w:rPr>
              <w:t xml:space="preserve"> </w:t>
            </w:r>
          </w:p>
        </w:tc>
        <w:tc>
          <w:tcPr>
            <w:tcW w:w="2551" w:type="dxa"/>
          </w:tcPr>
          <w:p w14:paraId="03B3F7A9" w14:textId="23316EAF" w:rsidR="009F3A39" w:rsidRPr="0074347F" w:rsidRDefault="003C6A22" w:rsidP="009F3A39">
            <w:pPr>
              <w:pStyle w:val="AFWBulletsBW"/>
              <w:numPr>
                <w:ilvl w:val="0"/>
                <w:numId w:val="0"/>
              </w:num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Summary of the Accompanying </w:t>
            </w:r>
            <w:r w:rsidR="009F3A39" w:rsidRPr="0074347F">
              <w:rPr>
                <w:rFonts w:cs="Arial"/>
                <w:sz w:val="24"/>
                <w:szCs w:val="24"/>
              </w:rPr>
              <w:t xml:space="preserve">SEA </w:t>
            </w:r>
            <w:r w:rsidR="00EC5C2C">
              <w:rPr>
                <w:rFonts w:cs="Arial"/>
                <w:sz w:val="24"/>
                <w:szCs w:val="24"/>
              </w:rPr>
              <w:t xml:space="preserve">Environmental </w:t>
            </w:r>
            <w:r w:rsidR="009F3A39" w:rsidRPr="0074347F">
              <w:rPr>
                <w:rFonts w:cs="Arial"/>
                <w:sz w:val="24"/>
                <w:szCs w:val="24"/>
              </w:rPr>
              <w:t>Report</w:t>
            </w:r>
            <w:r>
              <w:rPr>
                <w:rFonts w:cs="Arial"/>
                <w:sz w:val="24"/>
                <w:szCs w:val="24"/>
              </w:rPr>
              <w:t xml:space="preserve"> (what was appraised</w:t>
            </w:r>
            <w:r w:rsidR="00772116">
              <w:rPr>
                <w:rFonts w:cs="Arial"/>
                <w:sz w:val="24"/>
                <w:szCs w:val="24"/>
              </w:rPr>
              <w:t>)</w:t>
            </w:r>
          </w:p>
        </w:tc>
        <w:tc>
          <w:tcPr>
            <w:tcW w:w="4393" w:type="dxa"/>
          </w:tcPr>
          <w:p w14:paraId="2A30C817" w14:textId="6933A5A7" w:rsidR="009F3A39" w:rsidRPr="0074347F" w:rsidRDefault="003C6A22" w:rsidP="003C6A22">
            <w:pPr>
              <w:pStyle w:val="AFWBulletsBW"/>
              <w:numPr>
                <w:ilvl w:val="0"/>
                <w:numId w:val="0"/>
              </w:numP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Key Conclusions from the SEA Environmental Report</w:t>
            </w:r>
          </w:p>
        </w:tc>
      </w:tr>
      <w:tr w:rsidR="009F3A39" w:rsidRPr="0074347F" w14:paraId="1898E5B1" w14:textId="77777777" w:rsidTr="00A30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3673BCE4" w14:textId="02C79EB7" w:rsidR="009F3A39" w:rsidRPr="00905EB7" w:rsidRDefault="00E2386A" w:rsidP="003C6A22">
            <w:pPr>
              <w:pStyle w:val="AFWBulletsBW"/>
              <w:numPr>
                <w:ilvl w:val="0"/>
                <w:numId w:val="0"/>
              </w:numPr>
              <w:rPr>
                <w:rFonts w:cs="Arial"/>
                <w:b w:val="0"/>
                <w:color w:val="auto"/>
                <w:szCs w:val="20"/>
              </w:rPr>
            </w:pPr>
            <w:r w:rsidRPr="00905EB7">
              <w:rPr>
                <w:rFonts w:cs="Arial"/>
                <w:color w:val="auto"/>
                <w:szCs w:val="20"/>
              </w:rPr>
              <w:t>SEA Screening Statement 6 June 2016, (performed by SODC).</w:t>
            </w:r>
          </w:p>
        </w:tc>
        <w:tc>
          <w:tcPr>
            <w:tcW w:w="2551" w:type="dxa"/>
          </w:tcPr>
          <w:p w14:paraId="11223DCA" w14:textId="5F2169C5" w:rsidR="009F3A39" w:rsidRPr="00905EB7" w:rsidRDefault="00E2386A" w:rsidP="009F3A39">
            <w:pPr>
              <w:pStyle w:val="AFWBulletsBW"/>
              <w:numPr>
                <w:ilvl w:val="0"/>
                <w:numId w:val="0"/>
              </w:num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905EB7">
              <w:rPr>
                <w:rFonts w:cs="Arial"/>
                <w:color w:val="auto"/>
                <w:szCs w:val="20"/>
              </w:rPr>
              <w:t>The Screening Statement addressed the proposed NDP as it was envisaged at that time, which did not include site allocations for housing.</w:t>
            </w:r>
          </w:p>
        </w:tc>
        <w:tc>
          <w:tcPr>
            <w:tcW w:w="4393" w:type="dxa"/>
          </w:tcPr>
          <w:p w14:paraId="141566EB" w14:textId="77777777" w:rsidR="00E2386A" w:rsidRPr="00E2386A" w:rsidRDefault="00E2386A" w:rsidP="00E2386A">
            <w:pPr>
              <w:autoSpaceDE w:val="0"/>
              <w:autoSpaceDN w:val="0"/>
              <w:adjustRightInd w:val="0"/>
              <w:spacing w:after="260"/>
              <w:cnfStyle w:val="000000100000" w:firstRow="0" w:lastRow="0" w:firstColumn="0" w:lastColumn="0" w:oddVBand="0" w:evenVBand="0" w:oddHBand="1" w:evenHBand="0" w:firstRowFirstColumn="0" w:firstRowLastColumn="0" w:lastRowFirstColumn="0" w:lastRowLastColumn="0"/>
              <w:rPr>
                <w:rFonts w:cs="Arial"/>
                <w:color w:val="000000"/>
                <w:sz w:val="23"/>
                <w:szCs w:val="23"/>
              </w:rPr>
            </w:pPr>
            <w:r w:rsidRPr="00E2386A">
              <w:rPr>
                <w:rFonts w:cs="Arial"/>
                <w:color w:val="000000"/>
                <w:sz w:val="23"/>
                <w:szCs w:val="23"/>
              </w:rPr>
              <w:t xml:space="preserve">The East Hagbourne NDP is unlikely to have significant effects on Natura 2000 sites, therefore, an Appropriate Assessment for the Example Neighbourhood Development Plan is not required. </w:t>
            </w:r>
          </w:p>
          <w:p w14:paraId="141A0596" w14:textId="6C9A75AA" w:rsidR="00E2386A" w:rsidRPr="00E2386A" w:rsidRDefault="00E2386A" w:rsidP="00E2386A">
            <w:pPr>
              <w:autoSpaceDE w:val="0"/>
              <w:autoSpaceDN w:val="0"/>
              <w:adjustRightInd w:val="0"/>
              <w:spacing w:after="260"/>
              <w:cnfStyle w:val="000000100000" w:firstRow="0" w:lastRow="0" w:firstColumn="0" w:lastColumn="0" w:oddVBand="0" w:evenVBand="0" w:oddHBand="1" w:evenHBand="0" w:firstRowFirstColumn="0" w:firstRowLastColumn="0" w:lastRowFirstColumn="0" w:lastRowLastColumn="0"/>
              <w:rPr>
                <w:rFonts w:cs="Arial"/>
                <w:color w:val="000000"/>
                <w:sz w:val="23"/>
                <w:szCs w:val="23"/>
              </w:rPr>
            </w:pPr>
            <w:r w:rsidRPr="00E2386A">
              <w:rPr>
                <w:rFonts w:cs="Arial"/>
                <w:color w:val="000000"/>
                <w:sz w:val="23"/>
                <w:szCs w:val="23"/>
              </w:rPr>
              <w:t xml:space="preserve">Based on the assessment presented in Appendices 1 &amp; 3, the East Hagbourne NDP is not likely to have a significant effect on the environment. </w:t>
            </w:r>
          </w:p>
          <w:p w14:paraId="45551885" w14:textId="2BA789A1" w:rsidR="00E2386A" w:rsidRPr="00E2386A" w:rsidRDefault="00E2386A" w:rsidP="00E2386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3"/>
                <w:szCs w:val="23"/>
              </w:rPr>
            </w:pPr>
            <w:r w:rsidRPr="00E2386A">
              <w:rPr>
                <w:rFonts w:cs="Arial"/>
                <w:color w:val="000000"/>
                <w:sz w:val="23"/>
                <w:szCs w:val="23"/>
              </w:rPr>
              <w:t xml:space="preserve">The East Hagbourne NDP does not require a Strategic Environment Assessment. </w:t>
            </w:r>
          </w:p>
          <w:p w14:paraId="69A92261" w14:textId="19E28137" w:rsidR="00010373" w:rsidRPr="00532846" w:rsidRDefault="00010373" w:rsidP="009F3A39">
            <w:pPr>
              <w:pStyle w:val="AFWBulletsBW"/>
              <w:numPr>
                <w:ilvl w:val="0"/>
                <w:numId w:val="0"/>
              </w:numPr>
              <w:cnfStyle w:val="000000100000" w:firstRow="0" w:lastRow="0" w:firstColumn="0" w:lastColumn="0" w:oddVBand="0" w:evenVBand="0" w:oddHBand="1" w:evenHBand="0" w:firstRowFirstColumn="0" w:firstRowLastColumn="0" w:lastRowFirstColumn="0" w:lastRowLastColumn="0"/>
              <w:rPr>
                <w:rFonts w:cs="Arial"/>
                <w:color w:val="FF0000"/>
                <w:szCs w:val="20"/>
              </w:rPr>
            </w:pPr>
          </w:p>
        </w:tc>
      </w:tr>
      <w:tr w:rsidR="00C76013" w:rsidRPr="0074347F" w14:paraId="3E21B206" w14:textId="77777777" w:rsidTr="00A30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258F63BC"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Strategic Environmental Assessment (SEA) of the East Hagbourne Neighbourhood Plan.</w:t>
            </w:r>
          </w:p>
          <w:p w14:paraId="08F1DA86"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Scoping Report, February 2018.</w:t>
            </w:r>
          </w:p>
          <w:p w14:paraId="3CB073D8" w14:textId="4158F523" w:rsidR="00C76013" w:rsidRPr="00532846" w:rsidRDefault="00C76013" w:rsidP="00C76013">
            <w:pPr>
              <w:pStyle w:val="AFWBulletsBW"/>
              <w:numPr>
                <w:ilvl w:val="0"/>
                <w:numId w:val="0"/>
              </w:numPr>
              <w:rPr>
                <w:rFonts w:cs="Arial"/>
                <w:color w:val="FF0000"/>
                <w:sz w:val="24"/>
                <w:szCs w:val="24"/>
              </w:rPr>
            </w:pPr>
            <w:r w:rsidRPr="00905EB7">
              <w:rPr>
                <w:rFonts w:cs="Arial"/>
                <w:color w:val="auto"/>
                <w:szCs w:val="20"/>
              </w:rPr>
              <w:t>(Performed by AECOM)</w:t>
            </w:r>
          </w:p>
        </w:tc>
        <w:tc>
          <w:tcPr>
            <w:tcW w:w="2551" w:type="dxa"/>
          </w:tcPr>
          <w:p w14:paraId="0CC10ADF" w14:textId="77777777" w:rsidR="00C76013" w:rsidRPr="00905EB7"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In August 2017, it was decided, in consultation with SODC, to include an allocation of land for housing in the Plan.</w:t>
            </w:r>
          </w:p>
          <w:p w14:paraId="5858F651" w14:textId="64CAC79B" w:rsidR="00C76013" w:rsidRPr="00532846"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FF0000"/>
                <w:sz w:val="24"/>
                <w:szCs w:val="24"/>
              </w:rPr>
            </w:pPr>
            <w:r w:rsidRPr="00905EB7">
              <w:rPr>
                <w:rFonts w:cs="Arial"/>
                <w:color w:val="auto"/>
                <w:szCs w:val="20"/>
              </w:rPr>
              <w:t>AECOM reviewed the draft Plan and provided general comments on the soundness of the process.</w:t>
            </w:r>
          </w:p>
        </w:tc>
        <w:tc>
          <w:tcPr>
            <w:tcW w:w="4393" w:type="dxa"/>
          </w:tcPr>
          <w:p w14:paraId="525860CC" w14:textId="77777777" w:rsidR="00C76013" w:rsidRPr="00905EB7"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Comments were received from AECOM in the preparation of the Scoping Report, which resulted in changes to the suitability criteria to make them more objective.</w:t>
            </w:r>
          </w:p>
          <w:p w14:paraId="238643A2" w14:textId="77777777" w:rsidR="00C76013" w:rsidRPr="00905EB7"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The final Scoping Report did not provide consolidated conclusions, but gave comments and defined objectives and appraisal questions under eight topic headings:</w:t>
            </w:r>
          </w:p>
          <w:p w14:paraId="70DD694D"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Air Quality.</w:t>
            </w:r>
          </w:p>
          <w:p w14:paraId="791DABCD"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Biodivertity</w:t>
            </w:r>
          </w:p>
          <w:p w14:paraId="0254C8FE"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lastRenderedPageBreak/>
              <w:t>Climate change</w:t>
            </w:r>
          </w:p>
          <w:p w14:paraId="09AF72F2"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Landscape &amp; Historic Environment</w:t>
            </w:r>
          </w:p>
          <w:p w14:paraId="2AD96A03"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Land, Soil and Water Resources</w:t>
            </w:r>
          </w:p>
          <w:p w14:paraId="71C4B31E"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Population &amp; Community</w:t>
            </w:r>
          </w:p>
          <w:p w14:paraId="22188624" w14:textId="77777777" w:rsidR="00C76013" w:rsidRPr="00905EB7" w:rsidRDefault="00C76013" w:rsidP="00C76013">
            <w:pPr>
              <w:pStyle w:val="AFWBulletsBW"/>
              <w:numPr>
                <w:ilvl w:val="0"/>
                <w:numId w:val="23"/>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Health &amp; Wellbeing</w:t>
            </w:r>
          </w:p>
          <w:p w14:paraId="67EE5AE3" w14:textId="21DED518" w:rsidR="00C76013" w:rsidRPr="00532846"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FF0000"/>
                <w:sz w:val="24"/>
                <w:szCs w:val="24"/>
              </w:rPr>
            </w:pPr>
            <w:r w:rsidRPr="00905EB7">
              <w:rPr>
                <w:rFonts w:cs="Arial"/>
                <w:color w:val="auto"/>
                <w:szCs w:val="20"/>
              </w:rPr>
              <w:t>Transportation</w:t>
            </w:r>
          </w:p>
        </w:tc>
      </w:tr>
      <w:tr w:rsidR="00C76013" w:rsidRPr="0074347F" w14:paraId="3100162F" w14:textId="77777777" w:rsidTr="00A30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61A38727" w14:textId="77777777" w:rsidR="00C76013" w:rsidRPr="00905EB7" w:rsidRDefault="00C76013" w:rsidP="00C76013">
            <w:pPr>
              <w:pStyle w:val="AFWBulletsBW"/>
              <w:ind w:left="63"/>
              <w:rPr>
                <w:rFonts w:cs="Arial"/>
                <w:color w:val="auto"/>
                <w:szCs w:val="20"/>
              </w:rPr>
            </w:pPr>
            <w:r w:rsidRPr="00905EB7">
              <w:rPr>
                <w:rFonts w:cs="Arial"/>
                <w:color w:val="auto"/>
                <w:szCs w:val="20"/>
              </w:rPr>
              <w:lastRenderedPageBreak/>
              <w:t>Strategic Environmental Assessment (SEA) of the East Hagbourne Neighbourhood Plan</w:t>
            </w:r>
          </w:p>
          <w:p w14:paraId="5984D3C9" w14:textId="77777777" w:rsidR="00C76013" w:rsidRPr="00905EB7" w:rsidRDefault="00C76013" w:rsidP="00C76013">
            <w:pPr>
              <w:pStyle w:val="AFWBulletsBW"/>
              <w:ind w:left="63"/>
              <w:rPr>
                <w:rFonts w:cs="Arial"/>
                <w:color w:val="auto"/>
                <w:szCs w:val="20"/>
              </w:rPr>
            </w:pPr>
            <w:r w:rsidRPr="00905EB7">
              <w:rPr>
                <w:rFonts w:cs="Arial"/>
                <w:color w:val="auto"/>
                <w:szCs w:val="20"/>
              </w:rPr>
              <w:t>Environmental Report February 2018</w:t>
            </w:r>
          </w:p>
          <w:p w14:paraId="57BDA015"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(including a non-technical summary)</w:t>
            </w:r>
          </w:p>
          <w:p w14:paraId="58DA0113" w14:textId="20B32C35" w:rsidR="00C76013" w:rsidRPr="00905EB7" w:rsidDel="0088549F" w:rsidRDefault="00C76013" w:rsidP="00C76013">
            <w:pPr>
              <w:pStyle w:val="AFWBulletsBW"/>
              <w:numPr>
                <w:ilvl w:val="0"/>
                <w:numId w:val="0"/>
              </w:numPr>
              <w:ind w:left="63"/>
              <w:rPr>
                <w:rFonts w:cs="Arial"/>
                <w:color w:val="auto"/>
                <w:szCs w:val="20"/>
              </w:rPr>
            </w:pPr>
            <w:r>
              <w:rPr>
                <w:rFonts w:cs="Arial"/>
                <w:color w:val="auto"/>
                <w:szCs w:val="20"/>
              </w:rPr>
              <w:t>(</w:t>
            </w:r>
            <w:r w:rsidRPr="00905EB7">
              <w:rPr>
                <w:rFonts w:cs="Arial"/>
                <w:color w:val="auto"/>
                <w:szCs w:val="20"/>
              </w:rPr>
              <w:t>Performed by AECOM</w:t>
            </w:r>
            <w:r>
              <w:rPr>
                <w:rFonts w:cs="Arial"/>
                <w:color w:val="auto"/>
                <w:szCs w:val="20"/>
              </w:rPr>
              <w:t>)</w:t>
            </w:r>
          </w:p>
        </w:tc>
        <w:tc>
          <w:tcPr>
            <w:tcW w:w="2551" w:type="dxa"/>
          </w:tcPr>
          <w:p w14:paraId="3E682848" w14:textId="4DFE2B81" w:rsidR="00C76013" w:rsidRPr="00905EB7" w:rsidDel="0088549F" w:rsidRDefault="00C76013" w:rsidP="00C76013">
            <w:pPr>
              <w:pStyle w:val="AFWBulletsBW"/>
              <w:numPr>
                <w:ilvl w:val="0"/>
                <w:numId w:val="0"/>
              </w:num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905EB7">
              <w:rPr>
                <w:rFonts w:cs="Arial"/>
                <w:color w:val="auto"/>
                <w:szCs w:val="20"/>
              </w:rPr>
              <w:t>This version of the SEA was prepared for the Reg 14 consultation</w:t>
            </w:r>
            <w:r>
              <w:rPr>
                <w:rFonts w:cs="Arial"/>
                <w:color w:val="auto"/>
                <w:szCs w:val="20"/>
              </w:rPr>
              <w:t xml:space="preserve"> to assess the draft plan and proposed site options</w:t>
            </w:r>
            <w:r w:rsidRPr="00905EB7">
              <w:rPr>
                <w:rFonts w:cs="Arial"/>
                <w:color w:val="auto"/>
                <w:szCs w:val="20"/>
              </w:rPr>
              <w:t>.</w:t>
            </w:r>
          </w:p>
        </w:tc>
        <w:tc>
          <w:tcPr>
            <w:tcW w:w="4393" w:type="dxa"/>
          </w:tcPr>
          <w:p w14:paraId="36094C66" w14:textId="77777777" w:rsidR="00C76013" w:rsidRPr="00905EB7" w:rsidRDefault="00C76013" w:rsidP="00C76013">
            <w:pPr>
              <w:pStyle w:val="AFWBulletsBW"/>
              <w:numPr>
                <w:ilvl w:val="0"/>
                <w:numId w:val="0"/>
              </w:numPr>
              <w:ind w:left="176"/>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905EB7">
              <w:rPr>
                <w:rFonts w:cs="Arial"/>
                <w:color w:val="auto"/>
                <w:szCs w:val="20"/>
              </w:rPr>
              <w:t>The SEA assessed the shortlisted site allocation options and concluded that allocation of just one site was preferable to allocating two sites, because "allocation of both sites (Option 2) would lead to a range of concerns over and above Option 1, most notably in respect of landscape and loss of best and most versatile agricultural land"</w:t>
            </w:r>
          </w:p>
          <w:p w14:paraId="1DC4A532" w14:textId="77777777" w:rsidR="00C76013" w:rsidRPr="00905EB7" w:rsidRDefault="00C76013" w:rsidP="00C76013">
            <w:pPr>
              <w:pStyle w:val="AFWBulletsBW"/>
              <w:numPr>
                <w:ilvl w:val="0"/>
                <w:numId w:val="0"/>
              </w:numPr>
              <w:ind w:left="176"/>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905EB7">
              <w:rPr>
                <w:rFonts w:cs="Arial"/>
                <w:color w:val="auto"/>
                <w:szCs w:val="20"/>
              </w:rPr>
              <w:t>The Parish Council supported this conclusion.</w:t>
            </w:r>
          </w:p>
          <w:p w14:paraId="3CDE2361" w14:textId="1C023539" w:rsidR="00C76013" w:rsidRPr="00905EB7" w:rsidDel="0088549F" w:rsidRDefault="00C76013" w:rsidP="00C76013">
            <w:pPr>
              <w:pStyle w:val="AFWBulletsBW"/>
              <w:numPr>
                <w:ilvl w:val="0"/>
                <w:numId w:val="23"/>
              </w:num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905EB7">
              <w:rPr>
                <w:rFonts w:cs="Arial"/>
                <w:color w:val="auto"/>
                <w:szCs w:val="20"/>
              </w:rPr>
              <w:t xml:space="preserve">The SEA also assessed the policies in the proposed submission Plan and found them broadly positive - the conclusions for each topic area are outlined in section </w:t>
            </w:r>
            <w:r>
              <w:rPr>
                <w:rFonts w:cs="Arial"/>
                <w:color w:val="auto"/>
                <w:szCs w:val="20"/>
              </w:rPr>
              <w:t>5.</w:t>
            </w:r>
          </w:p>
        </w:tc>
      </w:tr>
      <w:tr w:rsidR="00C76013" w:rsidRPr="0074347F" w14:paraId="053A508C" w14:textId="77777777" w:rsidTr="00A30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47A76886"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Strategic Environmental Assessment (SEA) of the East Hagbourne Neighbourhood Plan</w:t>
            </w:r>
          </w:p>
          <w:p w14:paraId="7C61BB16"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Environmental Report Update: September 2018</w:t>
            </w:r>
          </w:p>
          <w:p w14:paraId="4C533619" w14:textId="77777777" w:rsidR="00C76013" w:rsidRPr="00905EB7" w:rsidRDefault="00C76013" w:rsidP="00C76013">
            <w:pPr>
              <w:pStyle w:val="AFWBulletsBW"/>
              <w:numPr>
                <w:ilvl w:val="0"/>
                <w:numId w:val="0"/>
              </w:numPr>
              <w:ind w:left="63"/>
              <w:rPr>
                <w:rFonts w:cs="Arial"/>
                <w:color w:val="auto"/>
                <w:szCs w:val="20"/>
              </w:rPr>
            </w:pPr>
            <w:r w:rsidRPr="00905EB7">
              <w:rPr>
                <w:rFonts w:cs="Arial"/>
                <w:color w:val="auto"/>
                <w:szCs w:val="20"/>
              </w:rPr>
              <w:t>(including a non-technical summary)</w:t>
            </w:r>
          </w:p>
          <w:p w14:paraId="27BC7FE5" w14:textId="2F4F47B5" w:rsidR="00C76013" w:rsidRPr="00905EB7" w:rsidRDefault="00C76013" w:rsidP="00C76013">
            <w:pPr>
              <w:pStyle w:val="AFWBulletsBW"/>
              <w:ind w:left="63"/>
              <w:rPr>
                <w:rFonts w:cs="Arial"/>
                <w:color w:val="auto"/>
                <w:szCs w:val="20"/>
              </w:rPr>
            </w:pPr>
            <w:r w:rsidRPr="00905EB7">
              <w:rPr>
                <w:rFonts w:cs="Arial"/>
                <w:color w:val="auto"/>
                <w:szCs w:val="20"/>
              </w:rPr>
              <w:t>Performed by AECOM</w:t>
            </w:r>
          </w:p>
        </w:tc>
        <w:tc>
          <w:tcPr>
            <w:tcW w:w="2551" w:type="dxa"/>
          </w:tcPr>
          <w:p w14:paraId="05832AD1" w14:textId="0A438FAF" w:rsidR="00C76013" w:rsidRPr="00905EB7" w:rsidRDefault="00C76013" w:rsidP="00C76013">
            <w:pPr>
              <w:pStyle w:val="AFWBulletsBW"/>
              <w:numPr>
                <w:ilvl w:val="0"/>
                <w:numId w:val="0"/>
              </w:numPr>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This Assessment reviewed the NDP immediately prior to its submission to SODC and commencement of the Reg 16 consultation</w:t>
            </w:r>
          </w:p>
        </w:tc>
        <w:tc>
          <w:tcPr>
            <w:tcW w:w="4393" w:type="dxa"/>
          </w:tcPr>
          <w:p w14:paraId="5F558C06" w14:textId="77777777" w:rsidR="00C76013" w:rsidRPr="00905EB7" w:rsidRDefault="00C76013" w:rsidP="00C76013">
            <w:pPr>
              <w:pStyle w:val="AFWBulletsBW"/>
              <w:numPr>
                <w:ilvl w:val="0"/>
                <w:numId w:val="0"/>
              </w:numPr>
              <w:ind w:left="176"/>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The SEA updated the assessment of February 2018, taking into account the changes made to the policies in the NDP as a result of the consultation.</w:t>
            </w:r>
          </w:p>
          <w:p w14:paraId="6FE9A887" w14:textId="77777777" w:rsidR="00C76013" w:rsidRPr="00905EB7" w:rsidRDefault="00C76013" w:rsidP="00C76013">
            <w:pPr>
              <w:pStyle w:val="AFWBulletsBW"/>
              <w:numPr>
                <w:ilvl w:val="0"/>
                <w:numId w:val="0"/>
              </w:numPr>
              <w:ind w:left="176"/>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The evaluation of the site assessment remained unchanged.</w:t>
            </w:r>
          </w:p>
          <w:p w14:paraId="140E575D" w14:textId="71F347E3" w:rsidR="00C76013" w:rsidRPr="00905EB7" w:rsidRDefault="00C76013" w:rsidP="00C76013">
            <w:pPr>
              <w:pStyle w:val="AFWBulletsBW"/>
              <w:numPr>
                <w:ilvl w:val="0"/>
                <w:numId w:val="0"/>
              </w:numPr>
              <w:ind w:left="176"/>
              <w:cnfStyle w:val="000000010000" w:firstRow="0" w:lastRow="0" w:firstColumn="0" w:lastColumn="0" w:oddVBand="0" w:evenVBand="0" w:oddHBand="0" w:evenHBand="1" w:firstRowFirstColumn="0" w:firstRowLastColumn="0" w:lastRowFirstColumn="0" w:lastRowLastColumn="0"/>
              <w:rPr>
                <w:rFonts w:cs="Arial"/>
                <w:color w:val="auto"/>
                <w:szCs w:val="20"/>
              </w:rPr>
            </w:pPr>
            <w:r w:rsidRPr="00905EB7">
              <w:rPr>
                <w:rFonts w:cs="Arial"/>
                <w:color w:val="auto"/>
                <w:szCs w:val="20"/>
              </w:rPr>
              <w:t xml:space="preserve">Additional comments were made on the policies, but the conclusions on their impact of the topic areas outlined in section </w:t>
            </w:r>
            <w:r>
              <w:rPr>
                <w:rFonts w:cs="Arial"/>
                <w:color w:val="auto"/>
                <w:szCs w:val="20"/>
              </w:rPr>
              <w:t>5</w:t>
            </w:r>
            <w:r w:rsidRPr="00905EB7">
              <w:rPr>
                <w:rFonts w:cs="Arial"/>
                <w:color w:val="auto"/>
                <w:szCs w:val="20"/>
              </w:rPr>
              <w:t xml:space="preserve"> remained</w:t>
            </w:r>
            <w:r>
              <w:rPr>
                <w:rFonts w:cs="Arial"/>
                <w:color w:val="auto"/>
                <w:szCs w:val="20"/>
              </w:rPr>
              <w:t xml:space="preserve"> broadly</w:t>
            </w:r>
            <w:r w:rsidRPr="00905EB7">
              <w:rPr>
                <w:rFonts w:cs="Arial"/>
                <w:color w:val="auto"/>
                <w:szCs w:val="20"/>
              </w:rPr>
              <w:t xml:space="preserve"> unchanged.</w:t>
            </w:r>
          </w:p>
        </w:tc>
      </w:tr>
      <w:bookmarkEnd w:id="6"/>
    </w:tbl>
    <w:p w14:paraId="2F3330DB" w14:textId="77777777" w:rsidR="009F3A39" w:rsidRPr="0074347F" w:rsidRDefault="009F3A39" w:rsidP="009F3A39">
      <w:pPr>
        <w:pStyle w:val="AFWBulletsBW"/>
        <w:numPr>
          <w:ilvl w:val="0"/>
          <w:numId w:val="0"/>
        </w:numPr>
        <w:rPr>
          <w:rFonts w:cs="Arial"/>
          <w:sz w:val="24"/>
          <w:szCs w:val="24"/>
        </w:rPr>
      </w:pPr>
    </w:p>
    <w:p w14:paraId="59E61927" w14:textId="2B811538" w:rsidR="009F3A39" w:rsidRPr="00A3005F" w:rsidRDefault="00EC5C2C" w:rsidP="00A3005F">
      <w:pPr>
        <w:pStyle w:val="AFWBody"/>
        <w:rPr>
          <w:b/>
          <w:sz w:val="24"/>
          <w:szCs w:val="24"/>
        </w:rPr>
      </w:pPr>
      <w:bookmarkStart w:id="7" w:name="_Toc486410884"/>
      <w:r>
        <w:rPr>
          <w:b/>
          <w:sz w:val="24"/>
          <w:szCs w:val="24"/>
        </w:rPr>
        <w:t>3.2</w:t>
      </w:r>
      <w:r>
        <w:rPr>
          <w:b/>
          <w:sz w:val="24"/>
          <w:szCs w:val="24"/>
        </w:rPr>
        <w:tab/>
      </w:r>
      <w:r w:rsidR="009F3A39" w:rsidRPr="00A3005F">
        <w:rPr>
          <w:b/>
          <w:sz w:val="24"/>
          <w:szCs w:val="24"/>
        </w:rPr>
        <w:t>How the Findings of the S</w:t>
      </w:r>
      <w:r w:rsidR="00C63128" w:rsidRPr="00A3005F">
        <w:rPr>
          <w:b/>
          <w:sz w:val="24"/>
          <w:szCs w:val="24"/>
        </w:rPr>
        <w:t>E</w:t>
      </w:r>
      <w:r w:rsidR="009F3A39" w:rsidRPr="00A3005F">
        <w:rPr>
          <w:b/>
          <w:sz w:val="24"/>
          <w:szCs w:val="24"/>
        </w:rPr>
        <w:t>A Have Been Taken into Account</w:t>
      </w:r>
      <w:bookmarkEnd w:id="7"/>
    </w:p>
    <w:p w14:paraId="7361ED19" w14:textId="54B2EA05" w:rsidR="006960E8" w:rsidRDefault="00C63128" w:rsidP="00C63128">
      <w:pPr>
        <w:pStyle w:val="AFWBody"/>
        <w:rPr>
          <w:rFonts w:cs="Arial"/>
          <w:sz w:val="24"/>
          <w:szCs w:val="24"/>
        </w:rPr>
      </w:pPr>
      <w:r w:rsidRPr="0074347F">
        <w:rPr>
          <w:rFonts w:cs="Arial"/>
          <w:sz w:val="24"/>
          <w:szCs w:val="24"/>
        </w:rPr>
        <w:t xml:space="preserve">The SEA has helped </w:t>
      </w:r>
      <w:r w:rsidR="006960E8">
        <w:rPr>
          <w:rFonts w:cs="Arial"/>
          <w:sz w:val="24"/>
          <w:szCs w:val="24"/>
        </w:rPr>
        <w:t xml:space="preserve">provide confirmation that the </w:t>
      </w:r>
      <w:r w:rsidRPr="0074347F">
        <w:rPr>
          <w:rFonts w:cs="Arial"/>
          <w:sz w:val="24"/>
          <w:szCs w:val="24"/>
        </w:rPr>
        <w:t xml:space="preserve">shape </w:t>
      </w:r>
      <w:r w:rsidR="007F7F69">
        <w:rPr>
          <w:rFonts w:cs="Arial"/>
          <w:sz w:val="24"/>
          <w:szCs w:val="24"/>
        </w:rPr>
        <w:t xml:space="preserve">and </w:t>
      </w:r>
      <w:r w:rsidRPr="0074347F">
        <w:rPr>
          <w:rFonts w:cs="Arial"/>
          <w:sz w:val="24"/>
          <w:szCs w:val="24"/>
        </w:rPr>
        <w:t>direction of the NDP</w:t>
      </w:r>
      <w:r w:rsidR="006960E8">
        <w:rPr>
          <w:rFonts w:cs="Arial"/>
          <w:sz w:val="24"/>
          <w:szCs w:val="24"/>
        </w:rPr>
        <w:t>, guided by extensive consultation</w:t>
      </w:r>
      <w:r w:rsidR="007F7F69">
        <w:rPr>
          <w:rFonts w:cs="Arial"/>
          <w:sz w:val="24"/>
          <w:szCs w:val="24"/>
        </w:rPr>
        <w:t xml:space="preserve"> with SODC</w:t>
      </w:r>
      <w:r w:rsidR="00E2386A">
        <w:rPr>
          <w:rFonts w:cs="Arial"/>
          <w:sz w:val="24"/>
          <w:szCs w:val="24"/>
        </w:rPr>
        <w:t>,</w:t>
      </w:r>
      <w:r w:rsidR="006960E8">
        <w:rPr>
          <w:rFonts w:cs="Arial"/>
          <w:sz w:val="24"/>
          <w:szCs w:val="24"/>
        </w:rPr>
        <w:t xml:space="preserve"> was robust</w:t>
      </w:r>
      <w:r w:rsidRPr="0074347F">
        <w:rPr>
          <w:rFonts w:cs="Arial"/>
          <w:sz w:val="24"/>
          <w:szCs w:val="24"/>
        </w:rPr>
        <w:t xml:space="preserve">.  </w:t>
      </w:r>
    </w:p>
    <w:p w14:paraId="2B8507BF" w14:textId="77777777" w:rsidR="007F7F69" w:rsidRDefault="00C63128" w:rsidP="00C63128">
      <w:pPr>
        <w:pStyle w:val="AFWBody"/>
        <w:rPr>
          <w:rFonts w:cs="Arial"/>
          <w:sz w:val="24"/>
          <w:szCs w:val="24"/>
        </w:rPr>
      </w:pPr>
      <w:r w:rsidRPr="0074347F">
        <w:rPr>
          <w:rFonts w:cs="Arial"/>
          <w:sz w:val="24"/>
          <w:szCs w:val="24"/>
        </w:rPr>
        <w:t xml:space="preserve">In particular, the findings of the SEA of the emerging NDP and reasonable alternatives have informed decisions in respect of: </w:t>
      </w:r>
    </w:p>
    <w:p w14:paraId="6B5FC49B" w14:textId="7F9D8B37" w:rsidR="00C63128" w:rsidRPr="0074347F" w:rsidRDefault="007F7F69" w:rsidP="00142879">
      <w:pPr>
        <w:pStyle w:val="AFWBody"/>
        <w:numPr>
          <w:ilvl w:val="0"/>
          <w:numId w:val="24"/>
        </w:numPr>
        <w:ind w:left="426" w:hanging="426"/>
        <w:rPr>
          <w:rFonts w:cs="Arial"/>
          <w:sz w:val="24"/>
          <w:szCs w:val="24"/>
        </w:rPr>
      </w:pPr>
      <w:r>
        <w:rPr>
          <w:rFonts w:cs="Arial"/>
          <w:sz w:val="24"/>
          <w:szCs w:val="24"/>
        </w:rPr>
        <w:t>Improving the site assessment process to ensure it was robust and objective.</w:t>
      </w:r>
    </w:p>
    <w:p w14:paraId="77A767E4" w14:textId="46DD5373" w:rsidR="00C63128" w:rsidRDefault="007F7F69" w:rsidP="007721F2">
      <w:pPr>
        <w:pStyle w:val="AFWBulletsBW"/>
        <w:numPr>
          <w:ilvl w:val="0"/>
          <w:numId w:val="12"/>
        </w:numPr>
        <w:rPr>
          <w:rFonts w:cs="Arial"/>
          <w:sz w:val="24"/>
          <w:szCs w:val="24"/>
        </w:rPr>
      </w:pPr>
      <w:r>
        <w:rPr>
          <w:rFonts w:cs="Arial"/>
          <w:sz w:val="24"/>
          <w:szCs w:val="24"/>
        </w:rPr>
        <w:t>O</w:t>
      </w:r>
      <w:r w:rsidR="00CE03EB">
        <w:rPr>
          <w:rFonts w:cs="Arial"/>
          <w:sz w:val="24"/>
          <w:szCs w:val="24"/>
        </w:rPr>
        <w:t>ptions for delivering</w:t>
      </w:r>
      <w:r w:rsidR="00C63128" w:rsidRPr="006E1A8C">
        <w:rPr>
          <w:rFonts w:cs="Arial"/>
          <w:sz w:val="24"/>
          <w:szCs w:val="24"/>
        </w:rPr>
        <w:t xml:space="preserve"> the overall </w:t>
      </w:r>
      <w:r w:rsidR="00CE03EB">
        <w:rPr>
          <w:rFonts w:cs="Arial"/>
          <w:sz w:val="24"/>
          <w:szCs w:val="24"/>
        </w:rPr>
        <w:t>amount</w:t>
      </w:r>
      <w:r w:rsidR="00CE03EB" w:rsidRPr="006E1A8C">
        <w:rPr>
          <w:rFonts w:cs="Arial"/>
          <w:sz w:val="24"/>
          <w:szCs w:val="24"/>
        </w:rPr>
        <w:t xml:space="preserve"> </w:t>
      </w:r>
      <w:r w:rsidR="00C63128" w:rsidRPr="006E1A8C">
        <w:rPr>
          <w:rFonts w:cs="Arial"/>
          <w:sz w:val="24"/>
          <w:szCs w:val="24"/>
        </w:rPr>
        <w:t>of growth</w:t>
      </w:r>
      <w:r w:rsidR="00CE03EB">
        <w:rPr>
          <w:rFonts w:cs="Arial"/>
          <w:sz w:val="24"/>
          <w:szCs w:val="24"/>
        </w:rPr>
        <w:t xml:space="preserve"> required</w:t>
      </w:r>
      <w:r>
        <w:rPr>
          <w:rFonts w:cs="Arial"/>
          <w:sz w:val="24"/>
          <w:szCs w:val="24"/>
        </w:rPr>
        <w:t xml:space="preserve"> and the final choice for </w:t>
      </w:r>
      <w:r w:rsidRPr="006E1A8C">
        <w:rPr>
          <w:rFonts w:cs="Arial"/>
          <w:sz w:val="24"/>
          <w:szCs w:val="24"/>
        </w:rPr>
        <w:t>the site to be allocated in the NDP</w:t>
      </w:r>
      <w:r>
        <w:rPr>
          <w:rFonts w:cs="Arial"/>
          <w:sz w:val="24"/>
          <w:szCs w:val="24"/>
        </w:rPr>
        <w:t>.</w:t>
      </w:r>
    </w:p>
    <w:p w14:paraId="52FE40AD" w14:textId="0E7252AD" w:rsidR="006960E8" w:rsidRDefault="006960E8" w:rsidP="00142879">
      <w:pPr>
        <w:pStyle w:val="AFWBulletsBW"/>
        <w:numPr>
          <w:ilvl w:val="0"/>
          <w:numId w:val="0"/>
        </w:numPr>
        <w:rPr>
          <w:rFonts w:cs="Arial"/>
          <w:sz w:val="24"/>
          <w:szCs w:val="24"/>
        </w:rPr>
      </w:pPr>
      <w:r>
        <w:rPr>
          <w:rFonts w:cs="Arial"/>
          <w:sz w:val="24"/>
          <w:szCs w:val="24"/>
        </w:rPr>
        <w:lastRenderedPageBreak/>
        <w:t>The SEA did not make any specific recommendations with respect to the policies of the NDP</w:t>
      </w:r>
      <w:r w:rsidR="007F7F69">
        <w:rPr>
          <w:rFonts w:cs="Arial"/>
          <w:sz w:val="24"/>
          <w:szCs w:val="24"/>
        </w:rPr>
        <w:t xml:space="preserve">, but confirmed that they were broadly positive (see Section </w:t>
      </w:r>
      <w:r w:rsidR="00292294">
        <w:rPr>
          <w:rFonts w:cs="Arial"/>
          <w:sz w:val="24"/>
          <w:szCs w:val="24"/>
        </w:rPr>
        <w:t>5</w:t>
      </w:r>
      <w:r w:rsidR="007F7F69">
        <w:rPr>
          <w:rFonts w:cs="Arial"/>
          <w:sz w:val="24"/>
          <w:szCs w:val="24"/>
        </w:rPr>
        <w:t>)</w:t>
      </w:r>
      <w:r>
        <w:rPr>
          <w:rFonts w:cs="Arial"/>
          <w:sz w:val="24"/>
          <w:szCs w:val="24"/>
        </w:rPr>
        <w:t>.</w:t>
      </w:r>
      <w:r w:rsidR="000B36DF">
        <w:rPr>
          <w:rFonts w:cs="Arial"/>
          <w:sz w:val="24"/>
          <w:szCs w:val="24"/>
        </w:rPr>
        <w:t xml:space="preserve"> </w:t>
      </w:r>
      <w:r w:rsidR="007F7F69">
        <w:rPr>
          <w:rFonts w:cs="Arial"/>
          <w:sz w:val="24"/>
          <w:szCs w:val="24"/>
        </w:rPr>
        <w:t>I</w:t>
      </w:r>
      <w:r w:rsidR="000B36DF">
        <w:rPr>
          <w:rFonts w:cs="Arial"/>
          <w:sz w:val="24"/>
          <w:szCs w:val="24"/>
        </w:rPr>
        <w:t>t concluded that:</w:t>
      </w:r>
    </w:p>
    <w:p w14:paraId="3ECCFEC0" w14:textId="148AED19" w:rsidR="000B36DF" w:rsidRDefault="000B36DF" w:rsidP="00142879">
      <w:pPr>
        <w:pStyle w:val="AFWBulletsBW"/>
        <w:numPr>
          <w:ilvl w:val="0"/>
          <w:numId w:val="22"/>
        </w:numPr>
        <w:rPr>
          <w:rFonts w:cs="Arial"/>
          <w:sz w:val="24"/>
          <w:szCs w:val="24"/>
        </w:rPr>
      </w:pPr>
      <w:r w:rsidRPr="000B36DF">
        <w:rPr>
          <w:rFonts w:cs="Arial"/>
          <w:sz w:val="24"/>
          <w:szCs w:val="24"/>
        </w:rPr>
        <w:t>The Plan</w:t>
      </w:r>
      <w:r w:rsidRPr="000B36DF">
        <w:t xml:space="preserve"> </w:t>
      </w:r>
      <w:r w:rsidRPr="000B36DF">
        <w:rPr>
          <w:rFonts w:cs="Arial"/>
          <w:sz w:val="24"/>
          <w:szCs w:val="24"/>
        </w:rPr>
        <w:t>is predicted to result in ‘significant positive effects’ in terms of heritage, landscape and residents needs / community / housing mix.</w:t>
      </w:r>
    </w:p>
    <w:p w14:paraId="338B4E08" w14:textId="57A03876" w:rsidR="00AC3558" w:rsidRDefault="00AC3558" w:rsidP="00142879">
      <w:pPr>
        <w:pStyle w:val="AFWBulletsBW"/>
        <w:numPr>
          <w:ilvl w:val="0"/>
          <w:numId w:val="22"/>
        </w:numPr>
        <w:rPr>
          <w:rFonts w:cs="Arial"/>
          <w:sz w:val="24"/>
          <w:szCs w:val="24"/>
        </w:rPr>
      </w:pPr>
      <w:r>
        <w:rPr>
          <w:rFonts w:cs="Arial"/>
          <w:sz w:val="24"/>
          <w:szCs w:val="24"/>
        </w:rPr>
        <w:t>The extent of the effects depends on how many housing developments take place within the NDP area.</w:t>
      </w:r>
    </w:p>
    <w:p w14:paraId="7F04204F" w14:textId="39E5E5E8" w:rsidR="006960E8" w:rsidRDefault="00AC3558" w:rsidP="00142879">
      <w:pPr>
        <w:pStyle w:val="AFWBulletsBW"/>
        <w:numPr>
          <w:ilvl w:val="0"/>
          <w:numId w:val="22"/>
        </w:numPr>
        <w:rPr>
          <w:rFonts w:cs="Arial"/>
          <w:sz w:val="24"/>
          <w:szCs w:val="24"/>
        </w:rPr>
      </w:pPr>
      <w:r w:rsidRPr="00AC3558">
        <w:rPr>
          <w:rFonts w:cs="Arial"/>
          <w:sz w:val="24"/>
          <w:szCs w:val="24"/>
        </w:rPr>
        <w:t>The Plan also performs well in terms of ‘housing’ in the sense that the proposal is to allocate the Greenlight site (Site 5), and thereby proactive support the timely delivery of that site.</w:t>
      </w:r>
    </w:p>
    <w:p w14:paraId="4C83402B" w14:textId="680CCA66" w:rsidR="00AC3558" w:rsidRPr="00AC3558" w:rsidRDefault="00AC3558" w:rsidP="00142879">
      <w:pPr>
        <w:pStyle w:val="AFWBulletsBW"/>
        <w:numPr>
          <w:ilvl w:val="0"/>
          <w:numId w:val="22"/>
        </w:numPr>
        <w:rPr>
          <w:rFonts w:cs="Arial"/>
          <w:sz w:val="24"/>
          <w:szCs w:val="24"/>
        </w:rPr>
      </w:pPr>
      <w:r w:rsidRPr="00AC3558">
        <w:rPr>
          <w:rFonts w:cs="Arial"/>
          <w:sz w:val="24"/>
          <w:szCs w:val="24"/>
        </w:rPr>
        <w:t>There is little or no reason to suggest that any policies in the plan, or the policies acting in combination, are in any way contrary to the achievement of housing objectives.</w:t>
      </w:r>
    </w:p>
    <w:p w14:paraId="5C587361" w14:textId="358A18CD" w:rsidR="006960E8" w:rsidRDefault="006960E8" w:rsidP="00142879">
      <w:pPr>
        <w:pStyle w:val="AFWBulletsBW"/>
        <w:numPr>
          <w:ilvl w:val="0"/>
          <w:numId w:val="0"/>
        </w:numPr>
        <w:rPr>
          <w:rFonts w:cs="Arial"/>
          <w:sz w:val="24"/>
          <w:szCs w:val="24"/>
        </w:rPr>
      </w:pPr>
    </w:p>
    <w:p w14:paraId="56CC1016" w14:textId="77777777" w:rsidR="00292294" w:rsidRPr="0074347F" w:rsidRDefault="00292294" w:rsidP="00292294">
      <w:pPr>
        <w:pStyle w:val="AFWBody"/>
        <w:rPr>
          <w:rFonts w:cs="Arial"/>
          <w:sz w:val="24"/>
          <w:szCs w:val="24"/>
        </w:rPr>
      </w:pPr>
      <w:r w:rsidRPr="0074347F">
        <w:rPr>
          <w:rFonts w:cs="Arial"/>
          <w:sz w:val="24"/>
          <w:szCs w:val="24"/>
        </w:rPr>
        <w:t xml:space="preserve">Through the SEA, a number of recommendations were also made concerning the emerging plan policies and these were set out in the </w:t>
      </w:r>
      <w:r>
        <w:rPr>
          <w:rFonts w:cs="Arial"/>
          <w:sz w:val="24"/>
          <w:szCs w:val="24"/>
        </w:rPr>
        <w:t>Environmental</w:t>
      </w:r>
      <w:r w:rsidRPr="0074347F">
        <w:rPr>
          <w:rFonts w:cs="Arial"/>
          <w:sz w:val="24"/>
          <w:szCs w:val="24"/>
        </w:rPr>
        <w:t xml:space="preserve"> Reports prepared in support of earlier drafts of the NDP.  The recommendations are summarised in </w:t>
      </w:r>
      <w:r w:rsidRPr="00A3005F">
        <w:rPr>
          <w:rFonts w:cs="Arial"/>
          <w:b/>
          <w:sz w:val="24"/>
          <w:szCs w:val="24"/>
        </w:rPr>
        <w:t>Table 3.2</w:t>
      </w:r>
      <w:r w:rsidRPr="0074347F">
        <w:rPr>
          <w:rFonts w:cs="Arial"/>
          <w:sz w:val="24"/>
          <w:szCs w:val="24"/>
        </w:rPr>
        <w:t xml:space="preserve"> together with a commentary on whether or not these were reflected in the made NDP and, if so, how.</w:t>
      </w:r>
    </w:p>
    <w:p w14:paraId="6D920723" w14:textId="77220BE2" w:rsidR="00292294" w:rsidRPr="0074347F" w:rsidRDefault="00292294" w:rsidP="00292294">
      <w:pPr>
        <w:pStyle w:val="AFWTableTitleBW"/>
        <w:rPr>
          <w:rFonts w:cs="Arial"/>
          <w:sz w:val="24"/>
          <w:szCs w:val="24"/>
        </w:rPr>
      </w:pPr>
      <w:r w:rsidRPr="00A3005F">
        <w:rPr>
          <w:rFonts w:cs="Arial"/>
          <w:b/>
          <w:sz w:val="24"/>
          <w:szCs w:val="24"/>
        </w:rPr>
        <w:t>Table 3.2: Recommendations arising from the SEA</w:t>
      </w:r>
      <w:r w:rsidRPr="0074347F">
        <w:rPr>
          <w:rFonts w:cs="Arial"/>
          <w:sz w:val="24"/>
          <w:szCs w:val="24"/>
        </w:rPr>
        <w:t xml:space="preserve"> </w:t>
      </w:r>
    </w:p>
    <w:tbl>
      <w:tblPr>
        <w:tblStyle w:val="AmecFosterWheelerReportTableBW"/>
        <w:tblW w:w="8959" w:type="dxa"/>
        <w:tblLook w:val="04A0" w:firstRow="1" w:lastRow="0" w:firstColumn="1" w:lastColumn="0" w:noHBand="0" w:noVBand="1"/>
      </w:tblPr>
      <w:tblGrid>
        <w:gridCol w:w="5841"/>
        <w:gridCol w:w="3118"/>
      </w:tblGrid>
      <w:tr w:rsidR="00292294" w:rsidRPr="0074347F" w14:paraId="1683AF79" w14:textId="77777777" w:rsidTr="00F61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1628C02E" w14:textId="77777777" w:rsidR="00292294" w:rsidRPr="0074347F" w:rsidRDefault="00292294" w:rsidP="00F61418">
            <w:pPr>
              <w:pStyle w:val="AFWBody"/>
              <w:rPr>
                <w:rFonts w:cs="Arial"/>
                <w:sz w:val="24"/>
                <w:szCs w:val="24"/>
              </w:rPr>
            </w:pPr>
            <w:r w:rsidRPr="0074347F">
              <w:rPr>
                <w:rFonts w:cs="Arial"/>
                <w:sz w:val="24"/>
                <w:szCs w:val="24"/>
              </w:rPr>
              <w:t>Recommendation</w:t>
            </w:r>
          </w:p>
        </w:tc>
        <w:tc>
          <w:tcPr>
            <w:tcW w:w="3118" w:type="dxa"/>
          </w:tcPr>
          <w:p w14:paraId="34615EEE" w14:textId="77777777" w:rsidR="00292294" w:rsidRPr="0074347F" w:rsidRDefault="00292294" w:rsidP="00F61418">
            <w:pPr>
              <w:pStyle w:val="AFWBody"/>
              <w:cnfStyle w:val="100000000000" w:firstRow="1" w:lastRow="0" w:firstColumn="0" w:lastColumn="0" w:oddVBand="0" w:evenVBand="0" w:oddHBand="0" w:evenHBand="0" w:firstRowFirstColumn="0" w:firstRowLastColumn="0" w:lastRowFirstColumn="0" w:lastRowLastColumn="0"/>
              <w:rPr>
                <w:rFonts w:cs="Arial"/>
                <w:sz w:val="24"/>
                <w:szCs w:val="24"/>
              </w:rPr>
            </w:pPr>
            <w:r w:rsidRPr="0074347F">
              <w:rPr>
                <w:rFonts w:cs="Arial"/>
                <w:sz w:val="24"/>
                <w:szCs w:val="24"/>
              </w:rPr>
              <w:t>Response</w:t>
            </w:r>
          </w:p>
        </w:tc>
      </w:tr>
      <w:tr w:rsidR="00292294" w:rsidRPr="0074347F" w14:paraId="00D45519" w14:textId="77777777" w:rsidTr="00F61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54EF74B8" w14:textId="22B80041" w:rsidR="00292294" w:rsidRPr="00532846" w:rsidRDefault="00292294" w:rsidP="00F61418">
            <w:pPr>
              <w:pStyle w:val="AFWBody"/>
              <w:rPr>
                <w:rFonts w:cs="Arial"/>
                <w:b w:val="0"/>
                <w:color w:val="FF0000"/>
                <w:szCs w:val="20"/>
              </w:rPr>
            </w:pPr>
            <w:r>
              <w:t>Policy might be established that seeks to ensure that development of the site addresses… car parking in the area of the Village Hall and School to minimise congestion at peak times</w:t>
            </w:r>
            <w:r w:rsidRPr="00532846">
              <w:rPr>
                <w:rFonts w:cs="Arial"/>
                <w:color w:val="FF0000"/>
                <w:szCs w:val="20"/>
              </w:rPr>
              <w:t xml:space="preserve"> </w:t>
            </w:r>
          </w:p>
        </w:tc>
        <w:tc>
          <w:tcPr>
            <w:tcW w:w="3118" w:type="dxa"/>
          </w:tcPr>
          <w:p w14:paraId="015DA6CA" w14:textId="55AC06F7" w:rsidR="00292294" w:rsidRPr="00532846" w:rsidRDefault="00621E13" w:rsidP="00F61418">
            <w:pPr>
              <w:pStyle w:val="AFWBody"/>
              <w:cnfStyle w:val="000000100000" w:firstRow="0" w:lastRow="0" w:firstColumn="0" w:lastColumn="0" w:oddVBand="0" w:evenVBand="0" w:oddHBand="1" w:evenHBand="0" w:firstRowFirstColumn="0" w:firstRowLastColumn="0" w:lastRowFirstColumn="0" w:lastRowLastColumn="0"/>
              <w:rPr>
                <w:rFonts w:cs="Arial"/>
                <w:color w:val="FF0000"/>
                <w:szCs w:val="20"/>
              </w:rPr>
            </w:pPr>
            <w:r>
              <w:t>T</w:t>
            </w:r>
            <w:r w:rsidR="00292294">
              <w:t>he submission version of the plan now includes a list of site specific criteria for the Greenlight site, two of which relate to parking</w:t>
            </w:r>
          </w:p>
        </w:tc>
      </w:tr>
      <w:tr w:rsidR="00292294" w:rsidRPr="0074347F" w14:paraId="5D5F299B" w14:textId="77777777" w:rsidTr="00F61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6CD15F05" w14:textId="13A934B3" w:rsidR="00292294" w:rsidRPr="00532846" w:rsidRDefault="00621E13" w:rsidP="00F61418">
            <w:pPr>
              <w:pStyle w:val="AFWBody"/>
              <w:rPr>
                <w:rFonts w:cs="Arial"/>
                <w:b w:val="0"/>
                <w:color w:val="FF0000"/>
                <w:szCs w:val="20"/>
              </w:rPr>
            </w:pPr>
            <w:r>
              <w:t>Consider the potential for a policy requirement to supplement the emerging Local Plan policy in respect of agricultural land quality, on the basis that the great majority of agricultural land potentially suitable for development surrounding the village is of ‘best and most versatile’ (BMV) quality.</w:t>
            </w:r>
          </w:p>
        </w:tc>
        <w:tc>
          <w:tcPr>
            <w:tcW w:w="3118" w:type="dxa"/>
          </w:tcPr>
          <w:p w14:paraId="37373E56" w14:textId="25CE51BA" w:rsidR="00292294" w:rsidRPr="00532846" w:rsidRDefault="00621E13" w:rsidP="00F61418">
            <w:pPr>
              <w:pStyle w:val="AFWBody"/>
              <w:cnfStyle w:val="000000010000" w:firstRow="0" w:lastRow="0" w:firstColumn="0" w:lastColumn="0" w:oddVBand="0" w:evenVBand="0" w:oddHBand="0" w:evenHBand="1" w:firstRowFirstColumn="0" w:firstRowLastColumn="0" w:lastRowFirstColumn="0" w:lastRowLastColumn="0"/>
              <w:rPr>
                <w:rFonts w:cs="Arial"/>
                <w:color w:val="FF0000"/>
                <w:szCs w:val="20"/>
              </w:rPr>
            </w:pPr>
            <w:r>
              <w:t>The Parish Council recognises that policy would ideally be in place, but has concluded that there is insufficient evidence available. Were evidence available to show how agricultural land quality varies from field to field, or broader land parcel to land parcel, then a policy that seeks to protect the highest quality land would be very welcomed.</w:t>
            </w:r>
          </w:p>
        </w:tc>
      </w:tr>
    </w:tbl>
    <w:p w14:paraId="409FEF25" w14:textId="77777777" w:rsidR="00292294" w:rsidRDefault="00292294" w:rsidP="00292294">
      <w:pPr>
        <w:pStyle w:val="AFWBody"/>
        <w:ind w:left="851" w:hanging="851"/>
        <w:rPr>
          <w:b/>
          <w:sz w:val="24"/>
          <w:szCs w:val="24"/>
        </w:rPr>
      </w:pPr>
    </w:p>
    <w:p w14:paraId="52A62F83" w14:textId="77777777" w:rsidR="00292294" w:rsidRDefault="00292294" w:rsidP="00292294">
      <w:pPr>
        <w:rPr>
          <w:rFonts w:ascii="Arial" w:hAnsi="Arial"/>
          <w:b/>
          <w:color w:val="000000"/>
          <w:sz w:val="24"/>
          <w:szCs w:val="24"/>
        </w:rPr>
      </w:pPr>
      <w:r>
        <w:rPr>
          <w:b/>
          <w:sz w:val="24"/>
          <w:szCs w:val="24"/>
        </w:rPr>
        <w:br w:type="page"/>
      </w:r>
    </w:p>
    <w:p w14:paraId="4545BCBB" w14:textId="04361282" w:rsidR="00172B5A" w:rsidRPr="00243E50" w:rsidRDefault="00243E50" w:rsidP="00243E50">
      <w:pPr>
        <w:pStyle w:val="AFWBody"/>
        <w:ind w:left="851" w:hanging="851"/>
        <w:rPr>
          <w:b/>
          <w:sz w:val="24"/>
          <w:szCs w:val="24"/>
        </w:rPr>
      </w:pPr>
      <w:bookmarkStart w:id="8" w:name="landscape_page"/>
      <w:bookmarkStart w:id="9" w:name="_Toc486410885"/>
      <w:bookmarkEnd w:id="8"/>
      <w:r>
        <w:rPr>
          <w:b/>
          <w:sz w:val="24"/>
          <w:szCs w:val="24"/>
        </w:rPr>
        <w:lastRenderedPageBreak/>
        <w:t>4</w:t>
      </w:r>
      <w:r>
        <w:rPr>
          <w:b/>
          <w:sz w:val="24"/>
          <w:szCs w:val="24"/>
        </w:rPr>
        <w:tab/>
      </w:r>
      <w:r w:rsidR="006E1A8C" w:rsidRPr="00243E50">
        <w:rPr>
          <w:b/>
          <w:sz w:val="24"/>
          <w:szCs w:val="24"/>
        </w:rPr>
        <w:t>HOW OPINIONS EXPRESSED DURING CONSULTATION HAVE BEEN TAKEN INTO ACCOUNT</w:t>
      </w:r>
      <w:bookmarkEnd w:id="9"/>
    </w:p>
    <w:p w14:paraId="1F661C1D" w14:textId="238C1AA0" w:rsidR="00126A4D" w:rsidRPr="00243E50" w:rsidRDefault="00430112" w:rsidP="00243E50">
      <w:pPr>
        <w:pStyle w:val="AFWBody"/>
        <w:rPr>
          <w:b/>
          <w:sz w:val="24"/>
          <w:szCs w:val="24"/>
        </w:rPr>
      </w:pPr>
      <w:r w:rsidRPr="00243E50">
        <w:rPr>
          <w:b/>
          <w:sz w:val="24"/>
          <w:szCs w:val="24"/>
        </w:rPr>
        <w:t>4.1</w:t>
      </w:r>
      <w:r w:rsidRPr="00243E50">
        <w:rPr>
          <w:b/>
          <w:sz w:val="24"/>
          <w:szCs w:val="24"/>
        </w:rPr>
        <w:tab/>
      </w:r>
      <w:r w:rsidR="00BA3451" w:rsidRPr="00243E50">
        <w:rPr>
          <w:b/>
          <w:sz w:val="24"/>
          <w:szCs w:val="24"/>
        </w:rPr>
        <w:t>O</w:t>
      </w:r>
      <w:r w:rsidR="003E7D0D" w:rsidRPr="00243E50">
        <w:rPr>
          <w:b/>
          <w:sz w:val="24"/>
          <w:szCs w:val="24"/>
        </w:rPr>
        <w:t>verview</w:t>
      </w:r>
    </w:p>
    <w:p w14:paraId="2B5157A2" w14:textId="716E277D" w:rsidR="00586563" w:rsidRPr="0074347F" w:rsidRDefault="007F7F69" w:rsidP="006047AC">
      <w:pPr>
        <w:pStyle w:val="AFWBody"/>
        <w:rPr>
          <w:rFonts w:cs="Arial"/>
          <w:sz w:val="24"/>
          <w:szCs w:val="24"/>
        </w:rPr>
      </w:pPr>
      <w:r>
        <w:rPr>
          <w:rFonts w:cs="Arial"/>
          <w:sz w:val="24"/>
          <w:szCs w:val="24"/>
        </w:rPr>
        <w:t>T</w:t>
      </w:r>
      <w:r w:rsidR="00586563" w:rsidRPr="0074347F">
        <w:rPr>
          <w:rFonts w:cs="Arial"/>
          <w:sz w:val="24"/>
          <w:szCs w:val="24"/>
        </w:rPr>
        <w:t xml:space="preserve">he development of the NDP has been informed by extensive, ongoing engagement and public consultation, in accordance with </w:t>
      </w:r>
      <w:r w:rsidR="00CA0D9C" w:rsidRPr="0074347F">
        <w:rPr>
          <w:rFonts w:cs="Arial"/>
          <w:sz w:val="24"/>
          <w:szCs w:val="24"/>
        </w:rPr>
        <w:t>the Neighbourhood Planning (General) Regulations 2012 (SI No. 637).</w:t>
      </w:r>
    </w:p>
    <w:p w14:paraId="6A9BA62F" w14:textId="77777777" w:rsidR="006047AC" w:rsidRPr="0074347F" w:rsidRDefault="006047AC" w:rsidP="006047AC">
      <w:pPr>
        <w:pStyle w:val="AFWBody"/>
        <w:rPr>
          <w:rFonts w:cs="Arial"/>
          <w:sz w:val="24"/>
          <w:szCs w:val="24"/>
        </w:rPr>
      </w:pPr>
      <w:r w:rsidRPr="0074347F">
        <w:rPr>
          <w:rFonts w:cs="Arial"/>
          <w:sz w:val="24"/>
          <w:szCs w:val="24"/>
        </w:rPr>
        <w:t xml:space="preserve">A Consultation Statement was prepared </w:t>
      </w:r>
      <w:r w:rsidR="00586563" w:rsidRPr="0074347F">
        <w:rPr>
          <w:rFonts w:cs="Arial"/>
          <w:sz w:val="24"/>
          <w:szCs w:val="24"/>
        </w:rPr>
        <w:t xml:space="preserve">for the NDP </w:t>
      </w:r>
      <w:r w:rsidRPr="0074347F">
        <w:rPr>
          <w:rFonts w:cs="Arial"/>
          <w:sz w:val="24"/>
          <w:szCs w:val="24"/>
        </w:rPr>
        <w:t xml:space="preserve">in accordance with Paragraph 15 (2)1 </w:t>
      </w:r>
      <w:r w:rsidR="00CA0D9C" w:rsidRPr="0074347F">
        <w:rPr>
          <w:rFonts w:cs="Arial"/>
          <w:sz w:val="24"/>
          <w:szCs w:val="24"/>
        </w:rPr>
        <w:t xml:space="preserve">of the Regulations </w:t>
      </w:r>
      <w:r w:rsidRPr="0074347F">
        <w:rPr>
          <w:rFonts w:cs="Arial"/>
          <w:sz w:val="24"/>
          <w:szCs w:val="24"/>
        </w:rPr>
        <w:t>which defines a “consultation statement” as a document which:</w:t>
      </w:r>
    </w:p>
    <w:p w14:paraId="70434C16" w14:textId="77777777" w:rsidR="006047AC" w:rsidRPr="0074347F" w:rsidRDefault="006047AC" w:rsidP="006047AC">
      <w:pPr>
        <w:pStyle w:val="AFWBody"/>
        <w:rPr>
          <w:rFonts w:cs="Arial"/>
          <w:i/>
          <w:sz w:val="24"/>
          <w:szCs w:val="24"/>
        </w:rPr>
      </w:pPr>
      <w:r w:rsidRPr="0074347F">
        <w:rPr>
          <w:rFonts w:cs="Arial"/>
          <w:i/>
          <w:sz w:val="24"/>
          <w:szCs w:val="24"/>
        </w:rPr>
        <w:t>(a) contains details of the persons and bodies who were consulted about the proposed neighbourhood development plan;</w:t>
      </w:r>
    </w:p>
    <w:p w14:paraId="60CAE139" w14:textId="77777777" w:rsidR="006047AC" w:rsidRPr="0074347F" w:rsidRDefault="006047AC" w:rsidP="006047AC">
      <w:pPr>
        <w:pStyle w:val="AFWBody"/>
        <w:rPr>
          <w:rFonts w:cs="Arial"/>
          <w:i/>
          <w:sz w:val="24"/>
          <w:szCs w:val="24"/>
        </w:rPr>
      </w:pPr>
      <w:r w:rsidRPr="0074347F">
        <w:rPr>
          <w:rFonts w:cs="Arial"/>
          <w:i/>
          <w:sz w:val="24"/>
          <w:szCs w:val="24"/>
        </w:rPr>
        <w:t>(b) explains how they were consulted;</w:t>
      </w:r>
    </w:p>
    <w:p w14:paraId="622F4403" w14:textId="77777777" w:rsidR="006047AC" w:rsidRPr="0074347F" w:rsidRDefault="006047AC" w:rsidP="006047AC">
      <w:pPr>
        <w:pStyle w:val="AFWBody"/>
        <w:rPr>
          <w:rFonts w:cs="Arial"/>
          <w:i/>
          <w:sz w:val="24"/>
          <w:szCs w:val="24"/>
        </w:rPr>
      </w:pPr>
      <w:r w:rsidRPr="0074347F">
        <w:rPr>
          <w:rFonts w:cs="Arial"/>
          <w:i/>
          <w:sz w:val="24"/>
          <w:szCs w:val="24"/>
        </w:rPr>
        <w:t>(c) summarises the main issues and concerns raised by the persons consulted; and</w:t>
      </w:r>
    </w:p>
    <w:p w14:paraId="4A510E0A" w14:textId="77777777" w:rsidR="006047AC" w:rsidRPr="0074347F" w:rsidRDefault="006047AC" w:rsidP="006047AC">
      <w:pPr>
        <w:pStyle w:val="AFWBody"/>
        <w:rPr>
          <w:rFonts w:cs="Arial"/>
          <w:i/>
          <w:sz w:val="24"/>
          <w:szCs w:val="24"/>
        </w:rPr>
      </w:pPr>
      <w:r w:rsidRPr="0074347F">
        <w:rPr>
          <w:rFonts w:cs="Arial"/>
          <w:i/>
          <w:sz w:val="24"/>
          <w:szCs w:val="24"/>
        </w:rPr>
        <w:t>(d) describes how these issues and concerns have been considered and, where relevant, addressed in the proposed neighbourhood development plan.</w:t>
      </w:r>
    </w:p>
    <w:p w14:paraId="12CE0E38" w14:textId="7228ECD9" w:rsidR="00CC38F7" w:rsidRPr="00A3005F" w:rsidRDefault="00CC38F7" w:rsidP="00586563">
      <w:pPr>
        <w:pStyle w:val="AFWBody"/>
        <w:rPr>
          <w:rFonts w:cs="Arial"/>
          <w:sz w:val="24"/>
          <w:szCs w:val="24"/>
        </w:rPr>
      </w:pPr>
      <w:r w:rsidRPr="00A3005F">
        <w:rPr>
          <w:rFonts w:cs="Arial"/>
          <w:sz w:val="24"/>
          <w:szCs w:val="24"/>
        </w:rPr>
        <w:t xml:space="preserve">The Consultation Statement </w:t>
      </w:r>
      <w:r>
        <w:rPr>
          <w:rFonts w:cs="Arial"/>
          <w:sz w:val="24"/>
          <w:szCs w:val="24"/>
        </w:rPr>
        <w:t xml:space="preserve">sets out the consultation undertaken during the preparation of the NDP, a summary of main issues raised and details of how the comments received have been taken into account. </w:t>
      </w:r>
    </w:p>
    <w:p w14:paraId="36D2609C" w14:textId="7EFE4C1E" w:rsidR="00CA0D9C" w:rsidRPr="00243E50" w:rsidRDefault="00430112" w:rsidP="00243E50">
      <w:pPr>
        <w:pStyle w:val="AFWBody"/>
        <w:rPr>
          <w:b/>
          <w:sz w:val="24"/>
          <w:szCs w:val="24"/>
        </w:rPr>
      </w:pPr>
      <w:r w:rsidRPr="00243E50">
        <w:rPr>
          <w:b/>
          <w:sz w:val="24"/>
          <w:szCs w:val="24"/>
        </w:rPr>
        <w:t>4.2</w:t>
      </w:r>
      <w:r w:rsidRPr="00243E50">
        <w:rPr>
          <w:b/>
          <w:sz w:val="24"/>
          <w:szCs w:val="24"/>
        </w:rPr>
        <w:tab/>
      </w:r>
      <w:r w:rsidR="00BA3451" w:rsidRPr="00243E50">
        <w:rPr>
          <w:b/>
          <w:sz w:val="24"/>
          <w:szCs w:val="24"/>
        </w:rPr>
        <w:t>SA C</w:t>
      </w:r>
      <w:r w:rsidR="003E7D0D" w:rsidRPr="00243E50">
        <w:rPr>
          <w:b/>
          <w:sz w:val="24"/>
          <w:szCs w:val="24"/>
        </w:rPr>
        <w:t>onsultation Summary</w:t>
      </w:r>
      <w:r w:rsidR="00BA3451" w:rsidRPr="00243E50">
        <w:rPr>
          <w:b/>
          <w:sz w:val="24"/>
          <w:szCs w:val="24"/>
        </w:rPr>
        <w:t xml:space="preserve"> </w:t>
      </w:r>
    </w:p>
    <w:p w14:paraId="33B049D6" w14:textId="6518E1DA" w:rsidR="003E7D0D" w:rsidRPr="0074347F" w:rsidRDefault="003E7D0D" w:rsidP="003E7D0D">
      <w:pPr>
        <w:pStyle w:val="AFWBody"/>
        <w:rPr>
          <w:rFonts w:cs="Arial"/>
          <w:sz w:val="24"/>
          <w:szCs w:val="24"/>
        </w:rPr>
      </w:pPr>
      <w:r w:rsidRPr="0074347F">
        <w:rPr>
          <w:rFonts w:cs="Arial"/>
          <w:sz w:val="24"/>
          <w:szCs w:val="24"/>
        </w:rPr>
        <w:t>Following consultat</w:t>
      </w:r>
      <w:r w:rsidR="00905EB7">
        <w:rPr>
          <w:rFonts w:cs="Arial"/>
          <w:sz w:val="24"/>
          <w:szCs w:val="24"/>
        </w:rPr>
        <w:t>ion on the scope of the SEA</w:t>
      </w:r>
      <w:r w:rsidRPr="00905EB7">
        <w:rPr>
          <w:rFonts w:cs="Arial"/>
          <w:color w:val="auto"/>
          <w:sz w:val="24"/>
          <w:szCs w:val="24"/>
        </w:rPr>
        <w:t xml:space="preserve">, </w:t>
      </w:r>
      <w:r>
        <w:rPr>
          <w:rFonts w:cs="Arial"/>
          <w:sz w:val="24"/>
          <w:szCs w:val="24"/>
        </w:rPr>
        <w:t>Environmental</w:t>
      </w:r>
      <w:r w:rsidRPr="0074347F">
        <w:rPr>
          <w:rFonts w:cs="Arial"/>
          <w:sz w:val="24"/>
          <w:szCs w:val="24"/>
        </w:rPr>
        <w:t xml:space="preserve"> Reports have been prepared and published for consultation at each key NDP stage as set out </w:t>
      </w:r>
      <w:r w:rsidRPr="00C07722">
        <w:rPr>
          <w:rFonts w:cs="Arial"/>
          <w:b/>
          <w:sz w:val="24"/>
          <w:szCs w:val="24"/>
        </w:rPr>
        <w:t>Table 3.1</w:t>
      </w:r>
      <w:r w:rsidRPr="0074347F">
        <w:rPr>
          <w:rFonts w:cs="Arial"/>
          <w:sz w:val="24"/>
          <w:szCs w:val="24"/>
        </w:rPr>
        <w:t xml:space="preserve"> above.</w:t>
      </w:r>
    </w:p>
    <w:p w14:paraId="3FD103BC" w14:textId="1DA52F6B" w:rsidR="00CA0D9C" w:rsidRPr="00905EB7" w:rsidRDefault="00CA0D9C" w:rsidP="00CA0D9C">
      <w:pPr>
        <w:pStyle w:val="AFWBody"/>
        <w:rPr>
          <w:rFonts w:cs="Arial"/>
          <w:sz w:val="24"/>
          <w:szCs w:val="24"/>
        </w:rPr>
      </w:pPr>
      <w:r w:rsidRPr="00905EB7">
        <w:rPr>
          <w:rFonts w:cs="Arial"/>
          <w:sz w:val="24"/>
          <w:szCs w:val="24"/>
        </w:rPr>
        <w:t xml:space="preserve">A five week consultation was undertaken on the Scoping Report which concluded </w:t>
      </w:r>
      <w:r w:rsidR="00905EB7" w:rsidRPr="00905EB7">
        <w:rPr>
          <w:rFonts w:cs="Arial"/>
          <w:sz w:val="24"/>
          <w:szCs w:val="24"/>
        </w:rPr>
        <w:t xml:space="preserve">the </w:t>
      </w:r>
      <w:r w:rsidR="00905EB7">
        <w:rPr>
          <w:rFonts w:cs="Arial"/>
          <w:sz w:val="24"/>
          <w:szCs w:val="24"/>
        </w:rPr>
        <w:t>end of January 201</w:t>
      </w:r>
      <w:r w:rsidR="002A5BCB">
        <w:rPr>
          <w:rFonts w:cs="Arial"/>
          <w:sz w:val="24"/>
          <w:szCs w:val="24"/>
        </w:rPr>
        <w:t>8</w:t>
      </w:r>
      <w:r w:rsidRPr="00905EB7">
        <w:rPr>
          <w:rFonts w:cs="Arial"/>
          <w:sz w:val="24"/>
          <w:szCs w:val="24"/>
        </w:rPr>
        <w:t>; a total of</w:t>
      </w:r>
      <w:r w:rsidR="00EC5CBC" w:rsidRPr="00905EB7">
        <w:rPr>
          <w:rFonts w:cs="Arial"/>
          <w:sz w:val="24"/>
          <w:szCs w:val="24"/>
        </w:rPr>
        <w:t xml:space="preserve"> </w:t>
      </w:r>
      <w:r w:rsidR="00EC5CBC" w:rsidRPr="00905EB7">
        <w:rPr>
          <w:rFonts w:cs="Arial"/>
          <w:color w:val="auto"/>
          <w:sz w:val="24"/>
          <w:szCs w:val="24"/>
        </w:rPr>
        <w:t>4</w:t>
      </w:r>
      <w:r w:rsidR="00BA3451" w:rsidRPr="00905EB7">
        <w:rPr>
          <w:rFonts w:cs="Arial"/>
          <w:color w:val="auto"/>
          <w:sz w:val="24"/>
          <w:szCs w:val="24"/>
        </w:rPr>
        <w:t xml:space="preserve"> </w:t>
      </w:r>
      <w:r w:rsidRPr="00905EB7">
        <w:rPr>
          <w:rFonts w:cs="Arial"/>
          <w:sz w:val="24"/>
          <w:szCs w:val="24"/>
        </w:rPr>
        <w:t xml:space="preserve">responses were received.  </w:t>
      </w:r>
    </w:p>
    <w:p w14:paraId="06C5DE47" w14:textId="5E3BE1A9" w:rsidR="00EC5CBC" w:rsidRPr="00905EB7" w:rsidRDefault="00EC5CBC" w:rsidP="00CA0D9C">
      <w:pPr>
        <w:pStyle w:val="AFWBody"/>
        <w:rPr>
          <w:rFonts w:cs="Arial"/>
          <w:color w:val="auto"/>
          <w:sz w:val="24"/>
          <w:szCs w:val="24"/>
          <w:u w:val="single"/>
        </w:rPr>
      </w:pPr>
      <w:r w:rsidRPr="00905EB7">
        <w:rPr>
          <w:rFonts w:cs="Arial"/>
          <w:color w:val="auto"/>
          <w:sz w:val="24"/>
          <w:szCs w:val="24"/>
          <w:u w:val="single"/>
        </w:rPr>
        <w:t>Natural England</w:t>
      </w:r>
    </w:p>
    <w:p w14:paraId="6FC93CFE" w14:textId="1635DF7A" w:rsidR="00EC5CBC" w:rsidRPr="00905EB7" w:rsidRDefault="00EC5CBC" w:rsidP="00EC5CBC">
      <w:pPr>
        <w:rPr>
          <w:rFonts w:ascii="Arial" w:hAnsi="Arial" w:cs="Arial"/>
          <w:sz w:val="24"/>
          <w:szCs w:val="24"/>
        </w:rPr>
      </w:pPr>
      <w:r w:rsidRPr="00905EB7">
        <w:rPr>
          <w:rFonts w:ascii="Arial" w:hAnsi="Arial" w:cs="Arial"/>
          <w:sz w:val="24"/>
          <w:szCs w:val="24"/>
        </w:rPr>
        <w:t xml:space="preserve">In our review of the East Hagbourne Neighbourhood Plan Strategic Environmental Assessment (SEA) scoping report we are satisfied with the scope and contents of the proposed SEA. </w:t>
      </w:r>
    </w:p>
    <w:p w14:paraId="2BCB00E5" w14:textId="25EE2629" w:rsidR="00EC5CBC" w:rsidRPr="00905EB7" w:rsidRDefault="00EC5CBC" w:rsidP="00EC5CBC">
      <w:pPr>
        <w:rPr>
          <w:rFonts w:ascii="Arial" w:hAnsi="Arial" w:cs="Arial"/>
          <w:sz w:val="24"/>
          <w:szCs w:val="24"/>
        </w:rPr>
      </w:pPr>
    </w:p>
    <w:p w14:paraId="3C3ACBFC" w14:textId="5EC27A9D" w:rsidR="00EC5CBC" w:rsidRPr="002A5BCB" w:rsidRDefault="00D82549" w:rsidP="00EC5CBC">
      <w:pPr>
        <w:rPr>
          <w:rFonts w:ascii="Arial" w:hAnsi="Arial" w:cs="Arial"/>
          <w:sz w:val="24"/>
          <w:szCs w:val="24"/>
          <w:u w:val="single"/>
        </w:rPr>
      </w:pPr>
      <w:r w:rsidRPr="002A5BCB">
        <w:rPr>
          <w:rFonts w:ascii="Arial" w:hAnsi="Arial" w:cs="Arial"/>
          <w:sz w:val="24"/>
          <w:szCs w:val="24"/>
          <w:u w:val="single"/>
        </w:rPr>
        <w:t>Historic England</w:t>
      </w:r>
    </w:p>
    <w:p w14:paraId="65E6CF6B" w14:textId="62B03BC6" w:rsidR="00D82549" w:rsidRPr="00905EB7" w:rsidRDefault="00D82549" w:rsidP="00EC5CBC">
      <w:pPr>
        <w:rPr>
          <w:rFonts w:ascii="Arial" w:hAnsi="Arial" w:cs="Arial"/>
          <w:sz w:val="24"/>
          <w:szCs w:val="24"/>
        </w:rPr>
      </w:pPr>
    </w:p>
    <w:p w14:paraId="436C93C1" w14:textId="77777777" w:rsidR="00D82549" w:rsidRPr="00905EB7" w:rsidRDefault="00D82549" w:rsidP="00D82549">
      <w:pPr>
        <w:tabs>
          <w:tab w:val="left" w:pos="5245"/>
        </w:tabs>
        <w:rPr>
          <w:rFonts w:ascii="Arial" w:hAnsi="Arial" w:cs="Arial"/>
          <w:sz w:val="24"/>
          <w:szCs w:val="24"/>
        </w:rPr>
      </w:pPr>
      <w:r w:rsidRPr="00905EB7">
        <w:rPr>
          <w:rFonts w:ascii="Arial" w:hAnsi="Arial" w:cs="Arial"/>
          <w:sz w:val="24"/>
          <w:szCs w:val="24"/>
        </w:rPr>
        <w:t>We would expect the Scoping Report to set out the indicators or measures by which the policies and proposals of the Plan can be assessed against the objectives and sub-objectives. The Historic England advice on Strategic Environmental Assessments and the Historic Environment contains a range of possible indicators for assessing and monitoring the performance of the policies and proposals of the Plan against a historic environment objective. Not all of these will be relevant, but we suggest that the following be considered:</w:t>
      </w:r>
    </w:p>
    <w:p w14:paraId="376D3592" w14:textId="77777777" w:rsidR="00D82549" w:rsidRPr="00905EB7" w:rsidRDefault="00D82549" w:rsidP="00D82549">
      <w:pPr>
        <w:tabs>
          <w:tab w:val="left" w:pos="5245"/>
        </w:tabs>
        <w:rPr>
          <w:rFonts w:ascii="Arial" w:hAnsi="Arial" w:cs="Arial"/>
          <w:sz w:val="24"/>
          <w:szCs w:val="24"/>
        </w:rPr>
      </w:pPr>
    </w:p>
    <w:p w14:paraId="7285CB12" w14:textId="77777777" w:rsidR="00905EB7" w:rsidRPr="00905EB7" w:rsidRDefault="00905EB7" w:rsidP="00905EB7">
      <w:pPr>
        <w:pStyle w:val="Default"/>
        <w:numPr>
          <w:ilvl w:val="0"/>
          <w:numId w:val="25"/>
        </w:numPr>
        <w:ind w:left="567" w:hanging="283"/>
        <w:rPr>
          <w:rFonts w:ascii="Arial" w:hAnsi="Arial" w:cs="Arial"/>
          <w:color w:val="auto"/>
        </w:rPr>
      </w:pPr>
      <w:r w:rsidRPr="00905EB7">
        <w:rPr>
          <w:rFonts w:ascii="Arial" w:hAnsi="Arial" w:cs="Arial"/>
          <w:color w:val="auto"/>
        </w:rPr>
        <w:t>the number and percentage of different heritage assets at risk;</w:t>
      </w:r>
    </w:p>
    <w:p w14:paraId="11CC59C4" w14:textId="77777777" w:rsidR="00905EB7" w:rsidRPr="00905EB7" w:rsidRDefault="00905EB7" w:rsidP="00905EB7">
      <w:pPr>
        <w:pStyle w:val="Default"/>
        <w:numPr>
          <w:ilvl w:val="0"/>
          <w:numId w:val="25"/>
        </w:numPr>
        <w:ind w:left="567" w:hanging="284"/>
        <w:rPr>
          <w:rFonts w:ascii="Arial" w:hAnsi="Arial" w:cs="Arial"/>
          <w:color w:val="auto"/>
        </w:rPr>
      </w:pPr>
      <w:r w:rsidRPr="00905EB7">
        <w:rPr>
          <w:rFonts w:ascii="Arial" w:hAnsi="Arial" w:cs="Arial"/>
          <w:color w:val="auto"/>
        </w:rPr>
        <w:t xml:space="preserve">the percentage of planning applications where archaeological investigations were required prior to approval; and </w:t>
      </w:r>
    </w:p>
    <w:p w14:paraId="679C8127" w14:textId="77777777" w:rsidR="00905EB7" w:rsidRPr="00905EB7" w:rsidRDefault="00905EB7" w:rsidP="00905EB7">
      <w:pPr>
        <w:numPr>
          <w:ilvl w:val="0"/>
          <w:numId w:val="25"/>
        </w:numPr>
        <w:tabs>
          <w:tab w:val="left" w:pos="567"/>
        </w:tabs>
        <w:ind w:left="567" w:hanging="283"/>
        <w:rPr>
          <w:rFonts w:ascii="Arial" w:hAnsi="Arial" w:cs="Arial"/>
          <w:sz w:val="24"/>
          <w:szCs w:val="24"/>
        </w:rPr>
      </w:pPr>
      <w:r w:rsidRPr="00905EB7">
        <w:rPr>
          <w:rFonts w:ascii="Arial" w:hAnsi="Arial" w:cs="Arial"/>
          <w:sz w:val="24"/>
          <w:szCs w:val="24"/>
        </w:rPr>
        <w:t xml:space="preserve">the percentage of planning applications where archaeological mitigation strategies were developed and implemented. </w:t>
      </w:r>
    </w:p>
    <w:p w14:paraId="73ACEF70" w14:textId="77777777" w:rsidR="00D82549" w:rsidRPr="00905EB7" w:rsidRDefault="00D82549" w:rsidP="00D82549">
      <w:pPr>
        <w:tabs>
          <w:tab w:val="left" w:pos="5245"/>
        </w:tabs>
        <w:rPr>
          <w:rFonts w:ascii="Arial" w:hAnsi="Arial" w:cs="Arial"/>
          <w:sz w:val="24"/>
          <w:szCs w:val="24"/>
        </w:rPr>
      </w:pPr>
    </w:p>
    <w:p w14:paraId="4C6A8DE1" w14:textId="698B3337" w:rsidR="00D82549" w:rsidRPr="002A5BCB" w:rsidRDefault="00905EB7" w:rsidP="00D82549">
      <w:pPr>
        <w:tabs>
          <w:tab w:val="left" w:pos="5245"/>
        </w:tabs>
        <w:rPr>
          <w:rFonts w:ascii="Arial" w:hAnsi="Arial" w:cs="Arial"/>
          <w:sz w:val="24"/>
          <w:szCs w:val="24"/>
          <w:u w:val="single"/>
        </w:rPr>
      </w:pPr>
      <w:r w:rsidRPr="002A5BCB">
        <w:rPr>
          <w:rFonts w:ascii="Arial" w:hAnsi="Arial" w:cs="Arial"/>
          <w:sz w:val="24"/>
          <w:szCs w:val="24"/>
          <w:u w:val="single"/>
        </w:rPr>
        <w:t>Environment Agency</w:t>
      </w:r>
    </w:p>
    <w:p w14:paraId="1C38C243" w14:textId="488152CA" w:rsidR="00905EB7" w:rsidRPr="00905EB7" w:rsidRDefault="00905EB7" w:rsidP="00D82549">
      <w:pPr>
        <w:tabs>
          <w:tab w:val="left" w:pos="5245"/>
        </w:tabs>
        <w:rPr>
          <w:rFonts w:ascii="Arial" w:hAnsi="Arial" w:cs="Arial"/>
          <w:sz w:val="24"/>
          <w:szCs w:val="24"/>
        </w:rPr>
      </w:pPr>
    </w:p>
    <w:p w14:paraId="2AB5B1C7" w14:textId="77777777" w:rsidR="00905EB7" w:rsidRPr="00905EB7" w:rsidRDefault="00905EB7" w:rsidP="00D82549">
      <w:pPr>
        <w:tabs>
          <w:tab w:val="left" w:pos="5245"/>
        </w:tabs>
        <w:rPr>
          <w:rStyle w:val="fontstyle01"/>
          <w:rFonts w:ascii="Arial" w:hAnsi="Arial" w:cs="Arial"/>
          <w:color w:val="auto"/>
        </w:rPr>
      </w:pPr>
      <w:r w:rsidRPr="00905EB7">
        <w:rPr>
          <w:rStyle w:val="fontstyle01"/>
          <w:rFonts w:ascii="Arial" w:hAnsi="Arial" w:cs="Arial"/>
          <w:color w:val="auto"/>
        </w:rPr>
        <w:t>Thank you for consulting the Environment Agency on the scoping report for the East</w:t>
      </w:r>
      <w:r w:rsidRPr="00905EB7">
        <w:rPr>
          <w:rFonts w:ascii="Arial" w:hAnsi="Arial" w:cs="Arial"/>
          <w:sz w:val="24"/>
          <w:szCs w:val="24"/>
        </w:rPr>
        <w:br/>
      </w:r>
      <w:r w:rsidRPr="00905EB7">
        <w:rPr>
          <w:rStyle w:val="fontstyle01"/>
          <w:rFonts w:ascii="Arial" w:hAnsi="Arial" w:cs="Arial"/>
          <w:color w:val="auto"/>
        </w:rPr>
        <w:t>Hagbourne Neighbourhood Plan. We are a statutory consultee in the SEA process and</w:t>
      </w:r>
      <w:r w:rsidRPr="00905EB7">
        <w:rPr>
          <w:rFonts w:ascii="Arial" w:hAnsi="Arial" w:cs="Arial"/>
          <w:sz w:val="24"/>
          <w:szCs w:val="24"/>
        </w:rPr>
        <w:br/>
      </w:r>
      <w:r w:rsidRPr="00905EB7">
        <w:rPr>
          <w:rStyle w:val="fontstyle01"/>
          <w:rFonts w:ascii="Arial" w:hAnsi="Arial" w:cs="Arial"/>
          <w:color w:val="auto"/>
        </w:rPr>
        <w:t>aim to reduce flood risk and protect and enhance the water environment. Based on our</w:t>
      </w:r>
      <w:r w:rsidRPr="00905EB7">
        <w:rPr>
          <w:rFonts w:ascii="Arial" w:hAnsi="Arial" w:cs="Arial"/>
          <w:sz w:val="24"/>
          <w:szCs w:val="24"/>
        </w:rPr>
        <w:br/>
      </w:r>
      <w:r w:rsidRPr="00905EB7">
        <w:rPr>
          <w:rStyle w:val="fontstyle01"/>
          <w:rFonts w:ascii="Arial" w:hAnsi="Arial" w:cs="Arial"/>
          <w:color w:val="auto"/>
        </w:rPr>
        <w:t>review of the draft scoping report, we think the following environmental issues should be</w:t>
      </w:r>
      <w:r w:rsidRPr="00905EB7">
        <w:rPr>
          <w:rFonts w:ascii="Arial" w:hAnsi="Arial" w:cs="Arial"/>
          <w:sz w:val="24"/>
          <w:szCs w:val="24"/>
        </w:rPr>
        <w:br/>
      </w:r>
      <w:r w:rsidRPr="00905EB7">
        <w:rPr>
          <w:rStyle w:val="fontstyle01"/>
          <w:rFonts w:ascii="Arial" w:hAnsi="Arial" w:cs="Arial"/>
          <w:color w:val="auto"/>
        </w:rPr>
        <w:t>included to ensure the neighbourhood plan adequately assesses any environmental</w:t>
      </w:r>
      <w:r w:rsidRPr="00905EB7">
        <w:rPr>
          <w:rFonts w:ascii="Arial" w:hAnsi="Arial" w:cs="Arial"/>
          <w:sz w:val="24"/>
          <w:szCs w:val="24"/>
        </w:rPr>
        <w:br/>
      </w:r>
      <w:r w:rsidRPr="00905EB7">
        <w:rPr>
          <w:rStyle w:val="fontstyle01"/>
          <w:rFonts w:ascii="Arial" w:hAnsi="Arial" w:cs="Arial"/>
          <w:color w:val="auto"/>
        </w:rPr>
        <w:t>impact:</w:t>
      </w:r>
    </w:p>
    <w:p w14:paraId="072D38E1" w14:textId="6CEBBCC5" w:rsidR="00905EB7" w:rsidRPr="00905EB7" w:rsidRDefault="00905EB7" w:rsidP="00D82549">
      <w:pPr>
        <w:tabs>
          <w:tab w:val="left" w:pos="5245"/>
        </w:tabs>
        <w:rPr>
          <w:rStyle w:val="fontstyle01"/>
          <w:rFonts w:ascii="Arial" w:hAnsi="Arial" w:cs="Arial"/>
          <w:color w:val="auto"/>
        </w:rPr>
      </w:pPr>
      <w:r w:rsidRPr="00905EB7">
        <w:rPr>
          <w:rFonts w:ascii="Arial" w:hAnsi="Arial" w:cs="Arial"/>
          <w:sz w:val="24"/>
          <w:szCs w:val="24"/>
        </w:rPr>
        <w:br/>
      </w:r>
      <w:r w:rsidRPr="00905EB7">
        <w:rPr>
          <w:rStyle w:val="fontstyle01"/>
          <w:rFonts w:ascii="Arial" w:hAnsi="Arial" w:cs="Arial"/>
          <w:color w:val="auto"/>
        </w:rPr>
        <w:t>Flood risk</w:t>
      </w:r>
      <w:r w:rsidRPr="00905EB7">
        <w:rPr>
          <w:rFonts w:ascii="Arial" w:hAnsi="Arial" w:cs="Arial"/>
          <w:sz w:val="24"/>
          <w:szCs w:val="24"/>
        </w:rPr>
        <w:br/>
      </w:r>
      <w:r w:rsidRPr="00905EB7">
        <w:rPr>
          <w:rStyle w:val="fontstyle01"/>
          <w:rFonts w:ascii="Arial" w:hAnsi="Arial" w:cs="Arial"/>
          <w:color w:val="auto"/>
        </w:rPr>
        <w:t>The Neighbourhood Plan includes areas of flood zone 2 and 3, specifically through East</w:t>
      </w:r>
      <w:r w:rsidRPr="00905EB7">
        <w:rPr>
          <w:rFonts w:ascii="Arial" w:hAnsi="Arial" w:cs="Arial"/>
          <w:sz w:val="24"/>
          <w:szCs w:val="24"/>
        </w:rPr>
        <w:br/>
      </w:r>
      <w:r w:rsidRPr="00905EB7">
        <w:rPr>
          <w:rStyle w:val="fontstyle01"/>
          <w:rFonts w:ascii="Arial" w:hAnsi="Arial" w:cs="Arial"/>
          <w:color w:val="auto"/>
        </w:rPr>
        <w:t>Hagbourne adjacent to the Hakka’s Brook, and to the south of the plan area near</w:t>
      </w:r>
      <w:r w:rsidRPr="00905EB7">
        <w:rPr>
          <w:rFonts w:ascii="Arial" w:hAnsi="Arial" w:cs="Arial"/>
          <w:sz w:val="24"/>
          <w:szCs w:val="24"/>
        </w:rPr>
        <w:br/>
      </w:r>
      <w:r w:rsidRPr="00905EB7">
        <w:rPr>
          <w:rStyle w:val="fontstyle01"/>
          <w:rFonts w:ascii="Arial" w:hAnsi="Arial" w:cs="Arial"/>
          <w:color w:val="auto"/>
        </w:rPr>
        <w:t>Hagbourne Mill Farm and Hagbourne Moor. It is not clear whether the plan intends to</w:t>
      </w:r>
      <w:r w:rsidRPr="00905EB7">
        <w:rPr>
          <w:rFonts w:ascii="Arial" w:hAnsi="Arial" w:cs="Arial"/>
          <w:sz w:val="24"/>
          <w:szCs w:val="24"/>
        </w:rPr>
        <w:br/>
      </w:r>
      <w:r w:rsidRPr="00905EB7">
        <w:rPr>
          <w:rStyle w:val="fontstyle01"/>
          <w:rFonts w:ascii="Arial" w:hAnsi="Arial" w:cs="Arial"/>
          <w:color w:val="auto"/>
        </w:rPr>
        <w:t>allocate sites for development. We note the advice in paragraph 1.5 of your scoping</w:t>
      </w:r>
      <w:r w:rsidRPr="00905EB7">
        <w:rPr>
          <w:rFonts w:ascii="Arial" w:hAnsi="Arial" w:cs="Arial"/>
          <w:sz w:val="24"/>
          <w:szCs w:val="24"/>
        </w:rPr>
        <w:br/>
      </w:r>
      <w:r w:rsidRPr="00905EB7">
        <w:rPr>
          <w:rStyle w:val="fontstyle01"/>
          <w:rFonts w:ascii="Arial" w:hAnsi="Arial" w:cs="Arial"/>
          <w:color w:val="auto"/>
        </w:rPr>
        <w:t>statement that although there are no specific allocations for housing for this plan area</w:t>
      </w:r>
      <w:r w:rsidRPr="00905EB7">
        <w:rPr>
          <w:rFonts w:ascii="Arial" w:hAnsi="Arial" w:cs="Arial"/>
          <w:sz w:val="24"/>
          <w:szCs w:val="24"/>
        </w:rPr>
        <w:br/>
      </w:r>
      <w:r w:rsidRPr="00905EB7">
        <w:rPr>
          <w:rStyle w:val="fontstyle01"/>
          <w:rFonts w:ascii="Arial" w:hAnsi="Arial" w:cs="Arial"/>
          <w:color w:val="auto"/>
        </w:rPr>
        <w:t>through the emerging local plan, a certain number of homes will be delivered in the</w:t>
      </w:r>
      <w:r w:rsidRPr="00905EB7">
        <w:rPr>
          <w:rFonts w:ascii="Arial" w:hAnsi="Arial" w:cs="Arial"/>
          <w:sz w:val="24"/>
          <w:szCs w:val="24"/>
        </w:rPr>
        <w:br/>
      </w:r>
      <w:r w:rsidRPr="00905EB7">
        <w:rPr>
          <w:rStyle w:val="fontstyle01"/>
          <w:rFonts w:ascii="Arial" w:hAnsi="Arial" w:cs="Arial"/>
          <w:color w:val="auto"/>
        </w:rPr>
        <w:t>“smaller villages” over the duration of the plan, and that this will be achieved through</w:t>
      </w:r>
      <w:r w:rsidRPr="00905EB7">
        <w:rPr>
          <w:rFonts w:ascii="Arial" w:hAnsi="Arial" w:cs="Arial"/>
          <w:sz w:val="24"/>
          <w:szCs w:val="24"/>
        </w:rPr>
        <w:br/>
      </w:r>
      <w:r w:rsidRPr="00905EB7">
        <w:rPr>
          <w:rStyle w:val="fontstyle01"/>
          <w:rFonts w:ascii="Arial" w:hAnsi="Arial" w:cs="Arial"/>
          <w:color w:val="auto"/>
        </w:rPr>
        <w:t>Neighbourhood Plans which allocate sites. If there is any intention to allocate sites for</w:t>
      </w:r>
      <w:r w:rsidRPr="00905EB7">
        <w:rPr>
          <w:rFonts w:ascii="Arial" w:hAnsi="Arial" w:cs="Arial"/>
          <w:sz w:val="24"/>
          <w:szCs w:val="24"/>
        </w:rPr>
        <w:br/>
      </w:r>
      <w:r w:rsidRPr="00905EB7">
        <w:rPr>
          <w:rStyle w:val="fontstyle01"/>
          <w:rFonts w:ascii="Arial" w:hAnsi="Arial" w:cs="Arial"/>
          <w:color w:val="auto"/>
        </w:rPr>
        <w:t>development in this plan, then we advise that the Local Authorities Strategic Flood Risk</w:t>
      </w:r>
      <w:r w:rsidRPr="00905EB7">
        <w:rPr>
          <w:rFonts w:ascii="Arial" w:hAnsi="Arial" w:cs="Arial"/>
          <w:sz w:val="24"/>
          <w:szCs w:val="24"/>
        </w:rPr>
        <w:br/>
      </w:r>
      <w:r w:rsidRPr="00905EB7">
        <w:rPr>
          <w:rStyle w:val="fontstyle01"/>
          <w:rFonts w:ascii="Arial" w:hAnsi="Arial" w:cs="Arial"/>
          <w:color w:val="auto"/>
        </w:rPr>
        <w:t>Assessment and Surface Water Management Plans are the evidence documents which</w:t>
      </w:r>
      <w:r w:rsidRPr="00905EB7">
        <w:rPr>
          <w:rFonts w:ascii="Arial" w:hAnsi="Arial" w:cs="Arial"/>
          <w:sz w:val="24"/>
          <w:szCs w:val="24"/>
        </w:rPr>
        <w:br/>
      </w:r>
      <w:r w:rsidRPr="00905EB7">
        <w:rPr>
          <w:rStyle w:val="fontstyle01"/>
          <w:rFonts w:ascii="Arial" w:hAnsi="Arial" w:cs="Arial"/>
          <w:color w:val="auto"/>
        </w:rPr>
        <w:t>will need to be consulted to determine the level of flood risk in this area. We expect the</w:t>
      </w:r>
      <w:r w:rsidRPr="00905EB7">
        <w:rPr>
          <w:rFonts w:ascii="Arial" w:hAnsi="Arial" w:cs="Arial"/>
          <w:sz w:val="24"/>
          <w:szCs w:val="24"/>
        </w:rPr>
        <w:br/>
      </w:r>
      <w:r w:rsidRPr="00905EB7">
        <w:rPr>
          <w:rStyle w:val="fontstyle01"/>
          <w:rFonts w:ascii="Arial" w:hAnsi="Arial" w:cs="Arial"/>
          <w:color w:val="auto"/>
        </w:rPr>
        <w:t>Sustainability Appraisal to include flood risk in the baseline information, as a key</w:t>
      </w:r>
      <w:r w:rsidRPr="00905EB7">
        <w:rPr>
          <w:rFonts w:ascii="Arial" w:hAnsi="Arial" w:cs="Arial"/>
          <w:sz w:val="24"/>
          <w:szCs w:val="24"/>
        </w:rPr>
        <w:br/>
      </w:r>
      <w:r w:rsidRPr="00905EB7">
        <w:rPr>
          <w:rStyle w:val="fontstyle01"/>
          <w:rFonts w:ascii="Arial" w:hAnsi="Arial" w:cs="Arial"/>
          <w:color w:val="auto"/>
        </w:rPr>
        <w:t>sustainability issue and as an objective.</w:t>
      </w:r>
    </w:p>
    <w:p w14:paraId="5B858D93" w14:textId="77777777" w:rsidR="00905EB7" w:rsidRPr="00905EB7" w:rsidRDefault="00905EB7" w:rsidP="00905EB7">
      <w:pPr>
        <w:tabs>
          <w:tab w:val="left" w:pos="5245"/>
        </w:tabs>
        <w:rPr>
          <w:rStyle w:val="fontstyle01"/>
          <w:rFonts w:ascii="Arial" w:hAnsi="Arial" w:cs="Arial"/>
          <w:color w:val="auto"/>
        </w:rPr>
      </w:pPr>
      <w:r w:rsidRPr="00905EB7">
        <w:rPr>
          <w:rFonts w:ascii="Arial" w:hAnsi="Arial" w:cs="Arial"/>
          <w:sz w:val="24"/>
          <w:szCs w:val="24"/>
        </w:rPr>
        <w:br/>
      </w:r>
      <w:r w:rsidRPr="00905EB7">
        <w:rPr>
          <w:rStyle w:val="fontstyle01"/>
          <w:rFonts w:ascii="Arial" w:hAnsi="Arial" w:cs="Arial"/>
          <w:color w:val="auto"/>
        </w:rPr>
        <w:t>Main river</w:t>
      </w:r>
      <w:r w:rsidRPr="00905EB7">
        <w:rPr>
          <w:rFonts w:ascii="Arial" w:hAnsi="Arial" w:cs="Arial"/>
          <w:sz w:val="24"/>
          <w:szCs w:val="24"/>
        </w:rPr>
        <w:br/>
      </w:r>
      <w:r w:rsidRPr="00905EB7">
        <w:rPr>
          <w:rStyle w:val="fontstyle01"/>
          <w:rFonts w:ascii="Arial" w:hAnsi="Arial" w:cs="Arial"/>
          <w:color w:val="auto"/>
        </w:rPr>
        <w:t>The Hakka’s Brook, Mill Brook and West Hagbourne Stream run through the</w:t>
      </w:r>
      <w:r w:rsidRPr="00905EB7">
        <w:rPr>
          <w:rFonts w:ascii="Arial" w:hAnsi="Arial" w:cs="Arial"/>
          <w:sz w:val="24"/>
          <w:szCs w:val="24"/>
        </w:rPr>
        <w:br/>
      </w:r>
      <w:r w:rsidRPr="00905EB7">
        <w:rPr>
          <w:rStyle w:val="fontstyle01"/>
          <w:rFonts w:ascii="Arial" w:hAnsi="Arial" w:cs="Arial"/>
          <w:color w:val="auto"/>
        </w:rPr>
        <w:t>neighbourhood plan area. These watercourses are currently failing to reach good</w:t>
      </w:r>
      <w:r w:rsidRPr="00905EB7">
        <w:rPr>
          <w:rFonts w:ascii="Arial" w:hAnsi="Arial" w:cs="Arial"/>
          <w:sz w:val="24"/>
          <w:szCs w:val="24"/>
        </w:rPr>
        <w:br/>
      </w:r>
      <w:r w:rsidRPr="00905EB7">
        <w:rPr>
          <w:rStyle w:val="fontstyle01"/>
          <w:rFonts w:ascii="Arial" w:hAnsi="Arial" w:cs="Arial"/>
          <w:color w:val="auto"/>
        </w:rPr>
        <w:t>ecological status/potential under the Water Framework Directive (WFD). They are</w:t>
      </w:r>
      <w:r w:rsidRPr="00905EB7">
        <w:rPr>
          <w:rFonts w:ascii="Arial" w:hAnsi="Arial" w:cs="Arial"/>
          <w:sz w:val="24"/>
          <w:szCs w:val="24"/>
        </w:rPr>
        <w:br/>
      </w:r>
      <w:r w:rsidRPr="00905EB7">
        <w:rPr>
          <w:rStyle w:val="fontstyle01"/>
          <w:rFonts w:ascii="Arial" w:hAnsi="Arial" w:cs="Arial"/>
          <w:color w:val="auto"/>
        </w:rPr>
        <w:t>within the WFD catchment known as Mill Brook and Bradfords Brook system</w:t>
      </w:r>
      <w:r w:rsidRPr="00905EB7">
        <w:rPr>
          <w:rFonts w:ascii="Arial" w:hAnsi="Arial" w:cs="Arial"/>
          <w:sz w:val="24"/>
          <w:szCs w:val="24"/>
        </w:rPr>
        <w:br/>
      </w:r>
      <w:r w:rsidRPr="00905EB7">
        <w:rPr>
          <w:rStyle w:val="fontstyle01"/>
          <w:rFonts w:ascii="Arial" w:hAnsi="Arial" w:cs="Arial"/>
          <w:color w:val="auto"/>
        </w:rPr>
        <w:t>(Wallingford). This catchment is currently classified as having moderate status.</w:t>
      </w:r>
      <w:r w:rsidRPr="00905EB7">
        <w:rPr>
          <w:rFonts w:ascii="Arial" w:hAnsi="Arial" w:cs="Arial"/>
          <w:sz w:val="24"/>
          <w:szCs w:val="24"/>
        </w:rPr>
        <w:br/>
      </w:r>
      <w:r w:rsidRPr="00905EB7">
        <w:rPr>
          <w:rStyle w:val="fontstyle01"/>
          <w:rFonts w:ascii="Arial" w:hAnsi="Arial" w:cs="Arial"/>
          <w:color w:val="auto"/>
        </w:rPr>
        <w:t>Developments within or adjacent to these watercourses should not cause further</w:t>
      </w:r>
      <w:r w:rsidRPr="00905EB7">
        <w:rPr>
          <w:rFonts w:ascii="Arial" w:hAnsi="Arial" w:cs="Arial"/>
          <w:sz w:val="24"/>
          <w:szCs w:val="24"/>
        </w:rPr>
        <w:br/>
      </w:r>
      <w:r w:rsidRPr="00905EB7">
        <w:rPr>
          <w:rStyle w:val="fontstyle01"/>
          <w:rFonts w:ascii="Arial" w:hAnsi="Arial" w:cs="Arial"/>
          <w:color w:val="auto"/>
        </w:rPr>
        <w:t>deterioration and should seek to improve the water quality based on the</w:t>
      </w:r>
      <w:r w:rsidRPr="00905EB7">
        <w:rPr>
          <w:rFonts w:ascii="Arial" w:hAnsi="Arial" w:cs="Arial"/>
          <w:sz w:val="24"/>
          <w:szCs w:val="24"/>
        </w:rPr>
        <w:br/>
      </w:r>
      <w:r w:rsidRPr="00905EB7">
        <w:rPr>
          <w:rStyle w:val="fontstyle01"/>
          <w:rFonts w:ascii="Arial" w:hAnsi="Arial" w:cs="Arial"/>
          <w:color w:val="auto"/>
        </w:rPr>
        <w:t>recommendations of the Thames River Basin Management Plan. An assessment of the potential impacts of the neighbourhood plan on this watercourse under WFD should be</w:t>
      </w:r>
      <w:r w:rsidRPr="00905EB7">
        <w:rPr>
          <w:rFonts w:ascii="Arial" w:hAnsi="Arial" w:cs="Arial"/>
          <w:sz w:val="24"/>
          <w:szCs w:val="24"/>
        </w:rPr>
        <w:br/>
      </w:r>
      <w:r w:rsidRPr="00905EB7">
        <w:rPr>
          <w:rStyle w:val="fontstyle01"/>
          <w:rFonts w:ascii="Arial" w:hAnsi="Arial" w:cs="Arial"/>
          <w:color w:val="auto"/>
        </w:rPr>
        <w:t>included within the SEA/SA appraisal.</w:t>
      </w:r>
    </w:p>
    <w:p w14:paraId="3A4CEFEE" w14:textId="2D95367E" w:rsidR="00EC5CBC" w:rsidRPr="00905EB7" w:rsidRDefault="00905EB7" w:rsidP="00905EB7">
      <w:pPr>
        <w:tabs>
          <w:tab w:val="left" w:pos="5245"/>
        </w:tabs>
        <w:rPr>
          <w:rStyle w:val="fontstyle01"/>
          <w:rFonts w:ascii="Arial" w:hAnsi="Arial" w:cs="Arial"/>
          <w:color w:val="auto"/>
        </w:rPr>
      </w:pPr>
      <w:r w:rsidRPr="00905EB7">
        <w:rPr>
          <w:rFonts w:ascii="Arial" w:hAnsi="Arial" w:cs="Arial"/>
          <w:sz w:val="24"/>
          <w:szCs w:val="24"/>
        </w:rPr>
        <w:br/>
      </w:r>
      <w:r w:rsidRPr="00905EB7">
        <w:rPr>
          <w:rStyle w:val="fontstyle01"/>
          <w:rFonts w:ascii="Arial" w:hAnsi="Arial" w:cs="Arial"/>
          <w:color w:val="auto"/>
        </w:rPr>
        <w:t>You should consider the requirements of the WFD and recommendations from the</w:t>
      </w:r>
      <w:r w:rsidRPr="00905EB7">
        <w:rPr>
          <w:rFonts w:ascii="Arial" w:hAnsi="Arial" w:cs="Arial"/>
          <w:sz w:val="24"/>
          <w:szCs w:val="24"/>
        </w:rPr>
        <w:br/>
      </w:r>
      <w:r w:rsidRPr="00905EB7">
        <w:rPr>
          <w:rStyle w:val="fontstyle01"/>
          <w:rFonts w:ascii="Arial" w:hAnsi="Arial" w:cs="Arial"/>
          <w:color w:val="auto"/>
        </w:rPr>
        <w:t>Thames River Basin Management Plan in your SA, as an SA objective against which</w:t>
      </w:r>
      <w:r w:rsidRPr="00905EB7">
        <w:rPr>
          <w:rFonts w:ascii="Arial" w:hAnsi="Arial" w:cs="Arial"/>
          <w:sz w:val="24"/>
          <w:szCs w:val="24"/>
        </w:rPr>
        <w:br/>
      </w:r>
      <w:r w:rsidRPr="00905EB7">
        <w:rPr>
          <w:rStyle w:val="fontstyle01"/>
          <w:rFonts w:ascii="Arial" w:hAnsi="Arial" w:cs="Arial"/>
          <w:color w:val="auto"/>
        </w:rPr>
        <w:t>your plan will be appraised and as part of your baseline.</w:t>
      </w:r>
    </w:p>
    <w:p w14:paraId="50583D70" w14:textId="6439DE55" w:rsidR="00905EB7" w:rsidRPr="00905EB7" w:rsidRDefault="00905EB7" w:rsidP="00905EB7">
      <w:pPr>
        <w:tabs>
          <w:tab w:val="left" w:pos="5245"/>
        </w:tabs>
        <w:rPr>
          <w:rStyle w:val="fontstyle01"/>
          <w:rFonts w:ascii="Arial" w:hAnsi="Arial" w:cs="Arial"/>
          <w:color w:val="auto"/>
        </w:rPr>
      </w:pPr>
    </w:p>
    <w:p w14:paraId="1B134B42" w14:textId="2A5AB567" w:rsidR="00905EB7" w:rsidRPr="002A5BCB" w:rsidRDefault="00905EB7" w:rsidP="00905EB7">
      <w:pPr>
        <w:tabs>
          <w:tab w:val="left" w:pos="5245"/>
        </w:tabs>
        <w:rPr>
          <w:rFonts w:ascii="Arial" w:hAnsi="Arial" w:cs="Arial"/>
          <w:sz w:val="24"/>
          <w:szCs w:val="24"/>
          <w:u w:val="single"/>
        </w:rPr>
      </w:pPr>
      <w:r w:rsidRPr="002A5BCB">
        <w:rPr>
          <w:rFonts w:ascii="Arial" w:hAnsi="Arial" w:cs="Arial"/>
          <w:sz w:val="24"/>
          <w:szCs w:val="24"/>
          <w:u w:val="single"/>
        </w:rPr>
        <w:t>Oxfordshire County Council</w:t>
      </w:r>
    </w:p>
    <w:p w14:paraId="74EDEE9B" w14:textId="77777777" w:rsidR="00905EB7" w:rsidRPr="00905EB7" w:rsidRDefault="00905EB7" w:rsidP="00905EB7">
      <w:pPr>
        <w:tabs>
          <w:tab w:val="left" w:pos="5245"/>
        </w:tabs>
        <w:rPr>
          <w:rFonts w:ascii="Arial" w:hAnsi="Arial" w:cs="Arial"/>
          <w:sz w:val="24"/>
          <w:szCs w:val="24"/>
        </w:rPr>
      </w:pPr>
    </w:p>
    <w:p w14:paraId="495B3D16" w14:textId="77777777" w:rsidR="00905EB7" w:rsidRPr="00905EB7" w:rsidRDefault="00905EB7" w:rsidP="00905EB7">
      <w:pPr>
        <w:rPr>
          <w:rFonts w:ascii="Arial" w:hAnsi="Arial" w:cs="Arial"/>
          <w:sz w:val="24"/>
          <w:szCs w:val="24"/>
        </w:rPr>
      </w:pPr>
      <w:r w:rsidRPr="00905EB7">
        <w:rPr>
          <w:rFonts w:ascii="Arial" w:hAnsi="Arial" w:cs="Arial"/>
          <w:sz w:val="24"/>
          <w:szCs w:val="24"/>
        </w:rPr>
        <w:t>Oxfordshire County Council does not normally comment on draft SEA Scoping reports for neighbourhood plans.  Nevertheless, I have had a quick look through and it seems that you have prepared a thorough report.  I understand that the East Hagbourne neighbourhood plan group are considering preparing a neighbourhood plan with allocations and therefore the work will continue.  We normally provide comment when a draft neighbourhood plan is produced.</w:t>
      </w:r>
    </w:p>
    <w:p w14:paraId="4C435AF8" w14:textId="77777777" w:rsidR="00905EB7" w:rsidRPr="00905EB7" w:rsidRDefault="00905EB7" w:rsidP="00905EB7">
      <w:pPr>
        <w:rPr>
          <w:rFonts w:ascii="Arial" w:hAnsi="Arial" w:cs="Arial"/>
          <w:sz w:val="24"/>
          <w:szCs w:val="24"/>
        </w:rPr>
      </w:pPr>
    </w:p>
    <w:p w14:paraId="4F05BE19" w14:textId="77777777" w:rsidR="00905EB7" w:rsidRPr="00905EB7" w:rsidRDefault="00905EB7" w:rsidP="00905EB7">
      <w:pPr>
        <w:autoSpaceDE w:val="0"/>
        <w:autoSpaceDN w:val="0"/>
        <w:rPr>
          <w:rFonts w:ascii="Arial" w:hAnsi="Arial" w:cs="Arial"/>
          <w:sz w:val="24"/>
          <w:szCs w:val="24"/>
        </w:rPr>
      </w:pPr>
      <w:r w:rsidRPr="00905EB7">
        <w:rPr>
          <w:rFonts w:ascii="Arial" w:hAnsi="Arial" w:cs="Arial"/>
          <w:sz w:val="24"/>
          <w:szCs w:val="24"/>
        </w:rPr>
        <w:lastRenderedPageBreak/>
        <w:t>One thing I did note from my quick read was the comment: ‘</w:t>
      </w:r>
      <w:r w:rsidRPr="00905EB7">
        <w:rPr>
          <w:rFonts w:ascii="Arial" w:hAnsi="Arial" w:cs="Arial"/>
          <w:sz w:val="24"/>
          <w:szCs w:val="24"/>
          <w:lang w:eastAsia="en-GB"/>
        </w:rPr>
        <w:t>The Neighbourhood Plan area is not connected to the rail network. The nearest railway station is located approximately 2.5km to the north in the neighbouring parish of Didcot…’</w:t>
      </w:r>
      <w:r w:rsidRPr="00905EB7">
        <w:rPr>
          <w:rFonts w:ascii="Arial" w:hAnsi="Arial" w:cs="Arial"/>
          <w:sz w:val="24"/>
          <w:szCs w:val="24"/>
        </w:rPr>
        <w:t>  Perhaps the sentences could be reworded to more usefully record that parts of the neighbourhood plan area are quite close to Didcot Parkway Railway Station (as close as xxkm) whereas the most distant parts are up to xxkm away.</w:t>
      </w:r>
    </w:p>
    <w:p w14:paraId="59046A26" w14:textId="77777777" w:rsidR="00905EB7" w:rsidRPr="00905EB7" w:rsidRDefault="00905EB7" w:rsidP="00905EB7">
      <w:pPr>
        <w:tabs>
          <w:tab w:val="left" w:pos="5245"/>
        </w:tabs>
        <w:rPr>
          <w:rFonts w:ascii="Arial" w:hAnsi="Arial" w:cs="Arial"/>
          <w:sz w:val="24"/>
          <w:szCs w:val="24"/>
        </w:rPr>
      </w:pPr>
    </w:p>
    <w:p w14:paraId="0552DA86" w14:textId="242906FB" w:rsidR="00C51BC0" w:rsidRPr="00905EB7" w:rsidRDefault="00D87A98" w:rsidP="00CA0D9C">
      <w:pPr>
        <w:pStyle w:val="AFWBody"/>
        <w:rPr>
          <w:rFonts w:cs="Arial"/>
          <w:color w:val="auto"/>
          <w:sz w:val="24"/>
          <w:szCs w:val="24"/>
        </w:rPr>
      </w:pPr>
      <w:r w:rsidRPr="00905EB7">
        <w:rPr>
          <w:rFonts w:cs="Arial"/>
          <w:color w:val="auto"/>
          <w:sz w:val="24"/>
          <w:szCs w:val="24"/>
        </w:rPr>
        <w:t xml:space="preserve">The draft </w:t>
      </w:r>
      <w:r w:rsidR="00BF1126" w:rsidRPr="00905EB7">
        <w:rPr>
          <w:rFonts w:cs="Arial"/>
          <w:color w:val="auto"/>
          <w:sz w:val="24"/>
          <w:szCs w:val="24"/>
        </w:rPr>
        <w:t>Environmental</w:t>
      </w:r>
      <w:r w:rsidRPr="00905EB7">
        <w:rPr>
          <w:rFonts w:cs="Arial"/>
          <w:color w:val="auto"/>
          <w:sz w:val="24"/>
          <w:szCs w:val="24"/>
        </w:rPr>
        <w:t xml:space="preserve"> Report accompanying the Regulation </w:t>
      </w:r>
      <w:r w:rsidR="00C51BC0" w:rsidRPr="00905EB7">
        <w:rPr>
          <w:rFonts w:cs="Arial"/>
          <w:color w:val="auto"/>
          <w:sz w:val="24"/>
          <w:szCs w:val="24"/>
        </w:rPr>
        <w:t xml:space="preserve">14 (Pre-submission version of the NDP) was consulted on for </w:t>
      </w:r>
      <w:r w:rsidR="00E71124" w:rsidRPr="00905EB7">
        <w:rPr>
          <w:rFonts w:cs="Arial"/>
          <w:color w:val="auto"/>
          <w:sz w:val="24"/>
          <w:szCs w:val="24"/>
        </w:rPr>
        <w:t xml:space="preserve">6 </w:t>
      </w:r>
      <w:r w:rsidR="00C51BC0" w:rsidRPr="00905EB7">
        <w:rPr>
          <w:rFonts w:cs="Arial"/>
          <w:color w:val="auto"/>
          <w:sz w:val="24"/>
          <w:szCs w:val="24"/>
        </w:rPr>
        <w:t xml:space="preserve">weeks which concluded </w:t>
      </w:r>
      <w:r w:rsidR="00BA3451" w:rsidRPr="00905EB7">
        <w:rPr>
          <w:rFonts w:cs="Arial"/>
          <w:color w:val="auto"/>
          <w:sz w:val="24"/>
          <w:szCs w:val="24"/>
        </w:rPr>
        <w:t>o</w:t>
      </w:r>
      <w:r w:rsidR="00C51BC0" w:rsidRPr="00905EB7">
        <w:rPr>
          <w:rFonts w:cs="Arial"/>
          <w:color w:val="auto"/>
          <w:sz w:val="24"/>
          <w:szCs w:val="24"/>
        </w:rPr>
        <w:t xml:space="preserve">n </w:t>
      </w:r>
      <w:r w:rsidR="00E71124" w:rsidRPr="00905EB7">
        <w:rPr>
          <w:rFonts w:cs="Arial"/>
          <w:color w:val="auto"/>
          <w:sz w:val="24"/>
          <w:szCs w:val="24"/>
        </w:rPr>
        <w:t>14th April 2018</w:t>
      </w:r>
      <w:r w:rsidR="00C51BC0" w:rsidRPr="00905EB7">
        <w:rPr>
          <w:rFonts w:cs="Arial"/>
          <w:color w:val="auto"/>
          <w:sz w:val="24"/>
          <w:szCs w:val="24"/>
        </w:rPr>
        <w:t xml:space="preserve"> a total of </w:t>
      </w:r>
      <w:r w:rsidR="002C4B69" w:rsidRPr="00905EB7">
        <w:rPr>
          <w:rFonts w:cs="Arial"/>
          <w:color w:val="auto"/>
          <w:sz w:val="24"/>
          <w:szCs w:val="24"/>
        </w:rPr>
        <w:t xml:space="preserve">87 </w:t>
      </w:r>
      <w:r w:rsidR="00C51BC0" w:rsidRPr="00905EB7">
        <w:rPr>
          <w:rFonts w:cs="Arial"/>
          <w:color w:val="auto"/>
          <w:sz w:val="24"/>
          <w:szCs w:val="24"/>
        </w:rPr>
        <w:t>response</w:t>
      </w:r>
      <w:r w:rsidR="002C4B69" w:rsidRPr="00905EB7">
        <w:rPr>
          <w:rFonts w:cs="Arial"/>
          <w:color w:val="auto"/>
          <w:sz w:val="24"/>
          <w:szCs w:val="24"/>
        </w:rPr>
        <w:t>s</w:t>
      </w:r>
      <w:r w:rsidR="00C51BC0" w:rsidRPr="00905EB7">
        <w:rPr>
          <w:rFonts w:cs="Arial"/>
          <w:color w:val="auto"/>
          <w:sz w:val="24"/>
          <w:szCs w:val="24"/>
        </w:rPr>
        <w:t xml:space="preserve"> were received.</w:t>
      </w:r>
    </w:p>
    <w:p w14:paraId="5695E879" w14:textId="257DFA15" w:rsidR="00C51BC0" w:rsidRPr="00905EB7" w:rsidRDefault="00BC0435" w:rsidP="00CA0D9C">
      <w:pPr>
        <w:pStyle w:val="AFWBody"/>
        <w:rPr>
          <w:rFonts w:cs="Arial"/>
          <w:color w:val="auto"/>
          <w:sz w:val="24"/>
          <w:szCs w:val="24"/>
        </w:rPr>
      </w:pPr>
      <w:r w:rsidRPr="00905EB7">
        <w:rPr>
          <w:rFonts w:cs="Arial"/>
          <w:color w:val="auto"/>
          <w:sz w:val="24"/>
          <w:szCs w:val="24"/>
        </w:rPr>
        <w:t>The comments received addressed the NDP policies and supporting text and changes to the NDP were made as a result. The comments did not directly address the Environmental Report.</w:t>
      </w:r>
      <w:r w:rsidR="00C51BC0" w:rsidRPr="00905EB7">
        <w:rPr>
          <w:rFonts w:cs="Arial"/>
          <w:color w:val="auto"/>
          <w:sz w:val="24"/>
          <w:szCs w:val="24"/>
        </w:rPr>
        <w:t xml:space="preserve"> </w:t>
      </w:r>
    </w:p>
    <w:p w14:paraId="500440B9" w14:textId="4874EE2D" w:rsidR="00D87A98" w:rsidRPr="00905EB7" w:rsidRDefault="00E54DA1" w:rsidP="00CA0D9C">
      <w:pPr>
        <w:pStyle w:val="AFWBody"/>
        <w:rPr>
          <w:rFonts w:cs="Arial"/>
          <w:color w:val="auto"/>
          <w:sz w:val="24"/>
          <w:szCs w:val="24"/>
        </w:rPr>
      </w:pPr>
      <w:r w:rsidRPr="00905EB7">
        <w:rPr>
          <w:rFonts w:cs="Arial"/>
          <w:color w:val="auto"/>
          <w:sz w:val="24"/>
          <w:szCs w:val="24"/>
        </w:rPr>
        <w:t>D</w:t>
      </w:r>
      <w:r w:rsidR="00C51BC0" w:rsidRPr="00905EB7">
        <w:rPr>
          <w:rFonts w:cs="Arial"/>
          <w:color w:val="auto"/>
          <w:sz w:val="24"/>
          <w:szCs w:val="24"/>
        </w:rPr>
        <w:t xml:space="preserve">etails of the results of consultation at this stage are </w:t>
      </w:r>
      <w:r w:rsidR="00762896" w:rsidRPr="00905EB7">
        <w:rPr>
          <w:rFonts w:cs="Arial"/>
          <w:color w:val="auto"/>
          <w:sz w:val="24"/>
          <w:szCs w:val="24"/>
        </w:rPr>
        <w:t>comprehensively reported</w:t>
      </w:r>
      <w:r w:rsidR="00C51BC0" w:rsidRPr="00905EB7">
        <w:rPr>
          <w:rFonts w:cs="Arial"/>
          <w:color w:val="auto"/>
          <w:sz w:val="24"/>
          <w:szCs w:val="24"/>
        </w:rPr>
        <w:t xml:space="preserve"> in the </w:t>
      </w:r>
      <w:r w:rsidR="00762896" w:rsidRPr="00905EB7">
        <w:rPr>
          <w:rFonts w:cs="Arial"/>
          <w:color w:val="auto"/>
          <w:sz w:val="24"/>
          <w:szCs w:val="24"/>
        </w:rPr>
        <w:t>Consultation Report, available at:</w:t>
      </w:r>
    </w:p>
    <w:p w14:paraId="05077A3F" w14:textId="4DF03B2E" w:rsidR="00762896" w:rsidRDefault="00C914F8" w:rsidP="00CA0D9C">
      <w:pPr>
        <w:pStyle w:val="AFWBody"/>
        <w:rPr>
          <w:rFonts w:cs="Arial"/>
          <w:color w:val="auto"/>
          <w:sz w:val="24"/>
          <w:szCs w:val="24"/>
        </w:rPr>
      </w:pPr>
      <w:hyperlink r:id="rId11" w:history="1">
        <w:r w:rsidR="00FB5945" w:rsidRPr="00603307">
          <w:rPr>
            <w:rStyle w:val="Hyperlink"/>
            <w:rFonts w:cs="Arial"/>
            <w:sz w:val="24"/>
            <w:szCs w:val="24"/>
          </w:rPr>
          <w:t>http://www.southoxon.gov.uk/EastHagbourne-NP</w:t>
        </w:r>
      </w:hyperlink>
    </w:p>
    <w:p w14:paraId="3B166D3D" w14:textId="61BB472D" w:rsidR="009A62A2" w:rsidRDefault="009A62A2" w:rsidP="006C5288">
      <w:pPr>
        <w:pStyle w:val="AFWBody"/>
        <w:rPr>
          <w:rFonts w:cs="Arial"/>
          <w:sz w:val="24"/>
          <w:szCs w:val="24"/>
        </w:rPr>
      </w:pPr>
      <w:r>
        <w:rPr>
          <w:rFonts w:cs="Arial"/>
          <w:sz w:val="24"/>
          <w:szCs w:val="24"/>
        </w:rPr>
        <w:br w:type="page"/>
      </w:r>
    </w:p>
    <w:p w14:paraId="37286E88" w14:textId="77777777" w:rsidR="007F7661" w:rsidRPr="00A4122E" w:rsidRDefault="00A4122E" w:rsidP="007721F2">
      <w:pPr>
        <w:pStyle w:val="AFWBody"/>
        <w:numPr>
          <w:ilvl w:val="0"/>
          <w:numId w:val="9"/>
        </w:numPr>
        <w:rPr>
          <w:rFonts w:cs="Arial"/>
          <w:b/>
          <w:sz w:val="24"/>
          <w:szCs w:val="24"/>
          <w:lang w:eastAsia="en-GB"/>
        </w:rPr>
      </w:pPr>
      <w:bookmarkStart w:id="10" w:name="after_landscape_page"/>
      <w:bookmarkEnd w:id="10"/>
      <w:r w:rsidRPr="00A4122E">
        <w:rPr>
          <w:rFonts w:cs="Arial"/>
          <w:b/>
          <w:sz w:val="24"/>
          <w:szCs w:val="24"/>
        </w:rPr>
        <w:lastRenderedPageBreak/>
        <w:t>THE REASONS FOR CHOOSING THE NDP, AS ADOPTED, IN THE LIGHT OF THE OTHER REASONABLE ALTERNATIVES DEALT WITH</w:t>
      </w:r>
    </w:p>
    <w:p w14:paraId="25251646" w14:textId="38E6D265" w:rsidR="007F7661" w:rsidRPr="00A3005F" w:rsidRDefault="00A4122E" w:rsidP="009D5698">
      <w:pPr>
        <w:pStyle w:val="AFWBody"/>
        <w:rPr>
          <w:rFonts w:cs="Arial"/>
          <w:b/>
          <w:sz w:val="24"/>
          <w:szCs w:val="24"/>
          <w:lang w:eastAsia="en-GB"/>
        </w:rPr>
      </w:pPr>
      <w:r w:rsidRPr="00A3005F">
        <w:rPr>
          <w:rFonts w:cs="Arial"/>
          <w:b/>
          <w:sz w:val="24"/>
          <w:szCs w:val="24"/>
          <w:lang w:eastAsia="en-GB"/>
        </w:rPr>
        <w:t>5.</w:t>
      </w:r>
      <w:r w:rsidR="007C53EE" w:rsidRPr="00A3005F">
        <w:rPr>
          <w:rFonts w:cs="Arial"/>
          <w:b/>
          <w:sz w:val="24"/>
          <w:szCs w:val="24"/>
          <w:lang w:eastAsia="en-GB"/>
        </w:rPr>
        <w:t>1</w:t>
      </w:r>
      <w:r w:rsidRPr="00A3005F">
        <w:rPr>
          <w:rFonts w:cs="Arial"/>
          <w:b/>
          <w:sz w:val="24"/>
          <w:szCs w:val="24"/>
          <w:lang w:eastAsia="en-GB"/>
        </w:rPr>
        <w:tab/>
        <w:t>O</w:t>
      </w:r>
      <w:r w:rsidR="00F84DCC" w:rsidRPr="00A3005F">
        <w:rPr>
          <w:rFonts w:cs="Arial"/>
          <w:b/>
          <w:sz w:val="24"/>
          <w:szCs w:val="24"/>
          <w:lang w:eastAsia="en-GB"/>
        </w:rPr>
        <w:t>verview</w:t>
      </w:r>
    </w:p>
    <w:p w14:paraId="1AD43E1E" w14:textId="77777777" w:rsidR="00225552" w:rsidRPr="00225552" w:rsidRDefault="00225552" w:rsidP="00225552">
      <w:pPr>
        <w:pStyle w:val="AFWBody"/>
        <w:rPr>
          <w:sz w:val="24"/>
          <w:szCs w:val="24"/>
        </w:rPr>
      </w:pPr>
      <w:r w:rsidRPr="00225552">
        <w:rPr>
          <w:sz w:val="24"/>
          <w:szCs w:val="24"/>
        </w:rPr>
        <w:t>Article 5 (1) of the SEA Directive and SEA Regulation 12(2) require that “</w:t>
      </w:r>
      <w:r w:rsidRPr="00225552">
        <w:rPr>
          <w:i/>
          <w:sz w:val="24"/>
          <w:szCs w:val="24"/>
        </w:rPr>
        <w:t>an environmental report shall be prepared in which the likely significant effects on the environment of implementing the plan or programme, and reasonable alternatives taking into account the objectives and the geographical scope of the plan or programme, are identified, described and evaluated</w:t>
      </w:r>
      <w:r w:rsidRPr="00225552">
        <w:rPr>
          <w:sz w:val="24"/>
          <w:szCs w:val="24"/>
        </w:rPr>
        <w:t>”.  Information to be provided includes “</w:t>
      </w:r>
      <w:r w:rsidRPr="00225552">
        <w:rPr>
          <w:i/>
          <w:sz w:val="24"/>
          <w:szCs w:val="24"/>
        </w:rPr>
        <w:t>an outline of the reasons for selecting the alternatives dealt with</w:t>
      </w:r>
      <w:r w:rsidRPr="00225552">
        <w:rPr>
          <w:sz w:val="24"/>
          <w:szCs w:val="24"/>
        </w:rPr>
        <w:t>” (SEA Directive Annex I (h) and SEA Regulations Schedule 2 (8)).</w:t>
      </w:r>
    </w:p>
    <w:p w14:paraId="5B5FD1B3" w14:textId="77777777" w:rsidR="00225552" w:rsidRPr="00225552" w:rsidRDefault="00225552" w:rsidP="00225552">
      <w:pPr>
        <w:pStyle w:val="AFWBody"/>
        <w:rPr>
          <w:sz w:val="24"/>
          <w:szCs w:val="24"/>
        </w:rPr>
      </w:pPr>
      <w:r w:rsidRPr="00225552">
        <w:rPr>
          <w:sz w:val="24"/>
          <w:szCs w:val="24"/>
        </w:rPr>
        <w:t>The European Commission guidance on the SEA Directive</w:t>
      </w:r>
      <w:r w:rsidRPr="00225552">
        <w:rPr>
          <w:rStyle w:val="FootnoteReference"/>
          <w:sz w:val="24"/>
          <w:szCs w:val="24"/>
        </w:rPr>
        <w:footnoteReference w:id="2"/>
      </w:r>
      <w:r w:rsidRPr="00225552">
        <w:rPr>
          <w:sz w:val="24"/>
          <w:szCs w:val="24"/>
        </w:rPr>
        <w:t xml:space="preserve"> discusses possible interpretations of handling ‘reasonable alternatives’ as required by Article 5(1).  It states that “</w:t>
      </w:r>
      <w:r w:rsidRPr="00225552">
        <w:rPr>
          <w:i/>
          <w:sz w:val="24"/>
          <w:szCs w:val="24"/>
        </w:rPr>
        <w:t>The alternatives chosen should be realistic.  Part of the reason for studying alternatives is to find ways of reducing or avoiding the significant adverse effects of the proposed plan or programme</w:t>
      </w:r>
      <w:r w:rsidRPr="00225552">
        <w:rPr>
          <w:sz w:val="24"/>
          <w:szCs w:val="24"/>
        </w:rPr>
        <w:t>”.</w:t>
      </w:r>
    </w:p>
    <w:p w14:paraId="05FCA0D7" w14:textId="7EDBD54F" w:rsidR="00225552" w:rsidRPr="00225552" w:rsidRDefault="00225552" w:rsidP="00225552">
      <w:pPr>
        <w:pStyle w:val="AFWBody"/>
        <w:rPr>
          <w:sz w:val="24"/>
          <w:szCs w:val="24"/>
        </w:rPr>
      </w:pPr>
      <w:r w:rsidRPr="00225552">
        <w:rPr>
          <w:sz w:val="24"/>
          <w:szCs w:val="24"/>
        </w:rPr>
        <w:t xml:space="preserve">As set out in </w:t>
      </w:r>
      <w:r w:rsidRPr="00225552">
        <w:rPr>
          <w:b/>
          <w:sz w:val="24"/>
          <w:szCs w:val="24"/>
        </w:rPr>
        <w:t>Section 3</w:t>
      </w:r>
      <w:r w:rsidRPr="00225552">
        <w:rPr>
          <w:sz w:val="24"/>
          <w:szCs w:val="24"/>
        </w:rPr>
        <w:t>, the S</w:t>
      </w:r>
      <w:r w:rsidR="00CC61BA">
        <w:rPr>
          <w:sz w:val="24"/>
          <w:szCs w:val="24"/>
        </w:rPr>
        <w:t>E</w:t>
      </w:r>
      <w:r w:rsidRPr="00225552">
        <w:rPr>
          <w:sz w:val="24"/>
          <w:szCs w:val="24"/>
        </w:rPr>
        <w:t xml:space="preserve">A has been an iterative process undertaken alongside and integrated with the development of the </w:t>
      </w:r>
      <w:r w:rsidR="00CC61BA">
        <w:rPr>
          <w:sz w:val="24"/>
          <w:szCs w:val="24"/>
        </w:rPr>
        <w:t>NDP</w:t>
      </w:r>
      <w:r w:rsidRPr="00225552">
        <w:rPr>
          <w:sz w:val="24"/>
          <w:szCs w:val="24"/>
        </w:rPr>
        <w:t xml:space="preserve"> itself.  The reasonable alternatives considered in preparing the </w:t>
      </w:r>
      <w:r w:rsidR="00CC61BA">
        <w:rPr>
          <w:sz w:val="24"/>
          <w:szCs w:val="24"/>
        </w:rPr>
        <w:t>NDP</w:t>
      </w:r>
      <w:r w:rsidRPr="00225552">
        <w:rPr>
          <w:sz w:val="24"/>
          <w:szCs w:val="24"/>
        </w:rPr>
        <w:t xml:space="preserve"> and appraised through the SA have related to</w:t>
      </w:r>
      <w:r w:rsidR="00D22A55">
        <w:rPr>
          <w:sz w:val="24"/>
          <w:szCs w:val="24"/>
        </w:rPr>
        <w:tab/>
      </w:r>
      <w:r w:rsidRPr="00225552">
        <w:rPr>
          <w:sz w:val="24"/>
          <w:szCs w:val="24"/>
        </w:rPr>
        <w:t>:</w:t>
      </w:r>
    </w:p>
    <w:p w14:paraId="47B2FF4B" w14:textId="5E28FDCF" w:rsidR="00225552" w:rsidRPr="00225552" w:rsidRDefault="00225552" w:rsidP="007721F2">
      <w:pPr>
        <w:pStyle w:val="AFWBulletsBW"/>
        <w:numPr>
          <w:ilvl w:val="0"/>
          <w:numId w:val="10"/>
        </w:numPr>
        <w:rPr>
          <w:sz w:val="24"/>
          <w:szCs w:val="24"/>
        </w:rPr>
      </w:pPr>
      <w:r w:rsidRPr="00225552">
        <w:rPr>
          <w:sz w:val="24"/>
          <w:szCs w:val="24"/>
        </w:rPr>
        <w:t xml:space="preserve">development scenarios (the amount of growth to be accommodated in the </w:t>
      </w:r>
      <w:r w:rsidR="00CC61BA">
        <w:rPr>
          <w:sz w:val="24"/>
          <w:szCs w:val="24"/>
        </w:rPr>
        <w:t>plan area</w:t>
      </w:r>
      <w:r w:rsidRPr="00225552">
        <w:rPr>
          <w:sz w:val="24"/>
          <w:szCs w:val="24"/>
        </w:rPr>
        <w:t>);</w:t>
      </w:r>
    </w:p>
    <w:p w14:paraId="3904CFCB" w14:textId="77777777" w:rsidR="00225552" w:rsidRPr="00225552" w:rsidRDefault="00225552" w:rsidP="007721F2">
      <w:pPr>
        <w:pStyle w:val="AFWBulletsBW"/>
        <w:numPr>
          <w:ilvl w:val="0"/>
          <w:numId w:val="10"/>
        </w:numPr>
        <w:rPr>
          <w:sz w:val="24"/>
          <w:szCs w:val="24"/>
        </w:rPr>
      </w:pPr>
      <w:r w:rsidRPr="00225552">
        <w:rPr>
          <w:sz w:val="24"/>
          <w:szCs w:val="24"/>
        </w:rPr>
        <w:t>site allocations; and</w:t>
      </w:r>
    </w:p>
    <w:p w14:paraId="08A47C43" w14:textId="75DFC029" w:rsidR="00225552" w:rsidRPr="00225552" w:rsidRDefault="007A2CB4" w:rsidP="007721F2">
      <w:pPr>
        <w:pStyle w:val="AFWBulletsBW"/>
        <w:numPr>
          <w:ilvl w:val="0"/>
          <w:numId w:val="10"/>
        </w:numPr>
        <w:rPr>
          <w:sz w:val="24"/>
          <w:szCs w:val="24"/>
        </w:rPr>
      </w:pPr>
      <w:r>
        <w:rPr>
          <w:sz w:val="24"/>
          <w:szCs w:val="24"/>
        </w:rPr>
        <w:t>policies</w:t>
      </w:r>
      <w:r w:rsidR="00225552" w:rsidRPr="00225552">
        <w:rPr>
          <w:sz w:val="24"/>
          <w:szCs w:val="24"/>
        </w:rPr>
        <w:t>.</w:t>
      </w:r>
    </w:p>
    <w:p w14:paraId="293FBDD4" w14:textId="3B43CAF1" w:rsidR="00A4122E" w:rsidRPr="00225552" w:rsidRDefault="00225552" w:rsidP="00225552">
      <w:pPr>
        <w:pStyle w:val="AFWBody"/>
        <w:rPr>
          <w:rFonts w:cs="Arial"/>
          <w:sz w:val="24"/>
          <w:szCs w:val="24"/>
          <w:lang w:eastAsia="en-GB"/>
        </w:rPr>
      </w:pPr>
      <w:r w:rsidRPr="00225552">
        <w:rPr>
          <w:sz w:val="24"/>
          <w:szCs w:val="24"/>
        </w:rPr>
        <w:t xml:space="preserve">The findings of the appraisal of </w:t>
      </w:r>
      <w:r w:rsidR="00D95623">
        <w:rPr>
          <w:sz w:val="24"/>
          <w:szCs w:val="24"/>
        </w:rPr>
        <w:t>the preferred approach</w:t>
      </w:r>
      <w:r w:rsidRPr="00225552">
        <w:rPr>
          <w:sz w:val="24"/>
          <w:szCs w:val="24"/>
        </w:rPr>
        <w:t xml:space="preserve"> and reasonable alternatives were reported in the </w:t>
      </w:r>
      <w:r w:rsidR="00BF1126">
        <w:rPr>
          <w:sz w:val="24"/>
          <w:szCs w:val="24"/>
        </w:rPr>
        <w:t>Environmental</w:t>
      </w:r>
      <w:r w:rsidRPr="00225552">
        <w:rPr>
          <w:sz w:val="24"/>
          <w:szCs w:val="24"/>
        </w:rPr>
        <w:t xml:space="preserve"> Reports at each stage of </w:t>
      </w:r>
      <w:r w:rsidR="008B63C3">
        <w:rPr>
          <w:sz w:val="24"/>
          <w:szCs w:val="24"/>
        </w:rPr>
        <w:t>NDP</w:t>
      </w:r>
      <w:r w:rsidRPr="00225552">
        <w:rPr>
          <w:sz w:val="24"/>
          <w:szCs w:val="24"/>
        </w:rPr>
        <w:t xml:space="preserve"> preparation and subject to </w:t>
      </w:r>
      <w:r w:rsidR="00D95623">
        <w:rPr>
          <w:sz w:val="24"/>
          <w:szCs w:val="24"/>
        </w:rPr>
        <w:t>consultation with the wider community and relevant consultation bodies</w:t>
      </w:r>
      <w:r w:rsidRPr="00225552">
        <w:rPr>
          <w:sz w:val="24"/>
          <w:szCs w:val="24"/>
        </w:rPr>
        <w:t>.</w:t>
      </w:r>
    </w:p>
    <w:p w14:paraId="0D623D4B" w14:textId="07D757E7" w:rsidR="000372EA" w:rsidRPr="00A3005F" w:rsidRDefault="007C53EE" w:rsidP="00897650">
      <w:pPr>
        <w:pStyle w:val="AFWBody"/>
        <w:rPr>
          <w:rFonts w:cs="Arial"/>
          <w:b/>
          <w:sz w:val="24"/>
          <w:szCs w:val="24"/>
          <w:lang w:eastAsia="en-GB"/>
        </w:rPr>
      </w:pPr>
      <w:r w:rsidRPr="00A3005F">
        <w:rPr>
          <w:rFonts w:cs="Arial"/>
          <w:b/>
          <w:sz w:val="24"/>
          <w:szCs w:val="24"/>
          <w:lang w:eastAsia="en-GB"/>
        </w:rPr>
        <w:t>5.2</w:t>
      </w:r>
      <w:r w:rsidRPr="00A3005F">
        <w:rPr>
          <w:rFonts w:cs="Arial"/>
          <w:b/>
          <w:sz w:val="24"/>
          <w:szCs w:val="24"/>
          <w:lang w:eastAsia="en-GB"/>
        </w:rPr>
        <w:tab/>
      </w:r>
      <w:r w:rsidR="00F84DCC" w:rsidRPr="00A3005F">
        <w:rPr>
          <w:rFonts w:cs="Arial"/>
          <w:b/>
          <w:sz w:val="24"/>
          <w:szCs w:val="24"/>
          <w:lang w:eastAsia="en-GB"/>
        </w:rPr>
        <w:t>The Reasons for Choosing the Preferred Approach and for Rejecting Reasonable Alternatives</w:t>
      </w:r>
    </w:p>
    <w:p w14:paraId="43BBC716" w14:textId="60A4B93C" w:rsidR="00D22A55" w:rsidRDefault="00D22A55" w:rsidP="00F32643">
      <w:pPr>
        <w:pStyle w:val="AFWBody"/>
        <w:rPr>
          <w:rFonts w:cs="Arial"/>
          <w:sz w:val="24"/>
          <w:szCs w:val="24"/>
          <w:lang w:eastAsia="en-GB"/>
        </w:rPr>
      </w:pPr>
      <w:r>
        <w:rPr>
          <w:rFonts w:cs="Arial"/>
          <w:sz w:val="24"/>
          <w:szCs w:val="24"/>
          <w:lang w:eastAsia="en-GB"/>
        </w:rPr>
        <w:t>The target for new housing in the life of the NDP was set considering the expectations of the Local Development Plan</w:t>
      </w:r>
      <w:r w:rsidR="00F32643">
        <w:rPr>
          <w:rFonts w:cs="Arial"/>
          <w:sz w:val="24"/>
          <w:szCs w:val="24"/>
          <w:lang w:eastAsia="en-GB"/>
        </w:rPr>
        <w:t xml:space="preserve">. A site assessment was carried out for all available land parcels in the NDP area with a view to locating land for up to 75 houses. After a first screening exercise, a shortlist of six sites was identified. These </w:t>
      </w:r>
      <w:r w:rsidR="00F32643" w:rsidRPr="00F32643">
        <w:rPr>
          <w:rFonts w:cs="Arial"/>
          <w:sz w:val="24"/>
          <w:szCs w:val="24"/>
          <w:lang w:eastAsia="en-GB"/>
        </w:rPr>
        <w:t>were subjected to</w:t>
      </w:r>
      <w:r w:rsidR="00F32643">
        <w:rPr>
          <w:rFonts w:cs="Arial"/>
          <w:sz w:val="24"/>
          <w:szCs w:val="24"/>
          <w:lang w:eastAsia="en-GB"/>
        </w:rPr>
        <w:t xml:space="preserve"> a</w:t>
      </w:r>
      <w:r w:rsidR="00F32643" w:rsidRPr="00F32643">
        <w:rPr>
          <w:rFonts w:cs="Arial"/>
          <w:sz w:val="24"/>
          <w:szCs w:val="24"/>
          <w:lang w:eastAsia="en-GB"/>
        </w:rPr>
        <w:t xml:space="preserve"> more systematic, criteria-based</w:t>
      </w:r>
      <w:r w:rsidR="00F32643">
        <w:rPr>
          <w:rFonts w:cs="Arial"/>
          <w:sz w:val="24"/>
          <w:szCs w:val="24"/>
          <w:lang w:eastAsia="en-GB"/>
        </w:rPr>
        <w:t xml:space="preserve"> </w:t>
      </w:r>
      <w:r w:rsidR="00F32643" w:rsidRPr="00F32643">
        <w:rPr>
          <w:rFonts w:cs="Arial"/>
          <w:sz w:val="24"/>
          <w:szCs w:val="24"/>
          <w:lang w:eastAsia="en-GB"/>
        </w:rPr>
        <w:t>assessment. Assessments were primarily carried out based on the intrinsic characteristics of</w:t>
      </w:r>
      <w:r w:rsidR="00F32643">
        <w:rPr>
          <w:rFonts w:cs="Arial"/>
          <w:sz w:val="24"/>
          <w:szCs w:val="24"/>
          <w:lang w:eastAsia="en-GB"/>
        </w:rPr>
        <w:t xml:space="preserve"> </w:t>
      </w:r>
      <w:r w:rsidR="00F32643" w:rsidRPr="00F32643">
        <w:rPr>
          <w:rFonts w:cs="Arial"/>
          <w:sz w:val="24"/>
          <w:szCs w:val="24"/>
          <w:lang w:eastAsia="en-GB"/>
        </w:rPr>
        <w:t>the site, regardless of any planning proposal that may have been made; however, where</w:t>
      </w:r>
      <w:r w:rsidR="00F32643">
        <w:rPr>
          <w:rFonts w:cs="Arial"/>
          <w:sz w:val="24"/>
          <w:szCs w:val="24"/>
          <w:lang w:eastAsia="en-GB"/>
        </w:rPr>
        <w:t xml:space="preserve"> </w:t>
      </w:r>
      <w:r w:rsidR="00F32643" w:rsidRPr="00F32643">
        <w:rPr>
          <w:rFonts w:cs="Arial"/>
          <w:sz w:val="24"/>
          <w:szCs w:val="24"/>
          <w:lang w:eastAsia="en-GB"/>
        </w:rPr>
        <w:t>proposals existed, these were acknowledged through three supplementary criteria.</w:t>
      </w:r>
      <w:r>
        <w:rPr>
          <w:rFonts w:cs="Arial"/>
          <w:sz w:val="24"/>
          <w:szCs w:val="24"/>
          <w:lang w:eastAsia="en-GB"/>
        </w:rPr>
        <w:t xml:space="preserve"> </w:t>
      </w:r>
      <w:r w:rsidR="00F32643">
        <w:rPr>
          <w:rFonts w:cs="Arial"/>
          <w:sz w:val="24"/>
          <w:szCs w:val="24"/>
          <w:lang w:eastAsia="en-GB"/>
        </w:rPr>
        <w:t>Two sites were identified that could potentially deliver the required housing numbers and these formed the basis for the "Reasonable Alternatives".</w:t>
      </w:r>
    </w:p>
    <w:p w14:paraId="75AB3276" w14:textId="77777777" w:rsidR="00D22A55" w:rsidRDefault="00D22A55" w:rsidP="00897650">
      <w:pPr>
        <w:pStyle w:val="AFWBody"/>
        <w:rPr>
          <w:rFonts w:cs="Arial"/>
          <w:sz w:val="24"/>
          <w:szCs w:val="24"/>
          <w:lang w:eastAsia="en-GB"/>
        </w:rPr>
      </w:pPr>
    </w:p>
    <w:p w14:paraId="17BD1E9C" w14:textId="08C33BD6" w:rsidR="00805B58" w:rsidRDefault="00805B58" w:rsidP="00897650">
      <w:pPr>
        <w:pStyle w:val="AFWBody"/>
        <w:rPr>
          <w:rFonts w:cs="Arial"/>
          <w:sz w:val="24"/>
          <w:szCs w:val="24"/>
          <w:lang w:eastAsia="en-GB"/>
        </w:rPr>
      </w:pPr>
      <w:r>
        <w:rPr>
          <w:rFonts w:cs="Arial"/>
          <w:sz w:val="24"/>
          <w:szCs w:val="24"/>
          <w:lang w:eastAsia="en-GB"/>
        </w:rPr>
        <w:t xml:space="preserve">The Final </w:t>
      </w:r>
      <w:r w:rsidR="00BF1126">
        <w:rPr>
          <w:rFonts w:cs="Arial"/>
          <w:sz w:val="24"/>
          <w:szCs w:val="24"/>
          <w:lang w:eastAsia="en-GB"/>
        </w:rPr>
        <w:t>Environmental</w:t>
      </w:r>
      <w:r>
        <w:rPr>
          <w:rFonts w:cs="Arial"/>
          <w:sz w:val="24"/>
          <w:szCs w:val="24"/>
          <w:lang w:eastAsia="en-GB"/>
        </w:rPr>
        <w:t xml:space="preserve"> Report sets out the reasons for choosing the preferred approach and for rejecting reasonable alternatives, this is summarised below.</w:t>
      </w:r>
    </w:p>
    <w:p w14:paraId="2EFADB56" w14:textId="77777777" w:rsidR="00E97889" w:rsidRDefault="00E97889" w:rsidP="00897650">
      <w:pPr>
        <w:pStyle w:val="AFWBody"/>
        <w:rPr>
          <w:rFonts w:cs="Arial"/>
          <w:b/>
          <w:sz w:val="24"/>
          <w:szCs w:val="24"/>
          <w:lang w:eastAsia="en-GB"/>
        </w:rPr>
      </w:pPr>
    </w:p>
    <w:p w14:paraId="788E810A" w14:textId="3B02A849" w:rsidR="00805B58" w:rsidRDefault="00805B58" w:rsidP="00897650">
      <w:pPr>
        <w:pStyle w:val="AFWBody"/>
        <w:rPr>
          <w:rFonts w:cs="Arial"/>
          <w:b/>
          <w:sz w:val="24"/>
          <w:szCs w:val="24"/>
          <w:lang w:eastAsia="en-GB"/>
        </w:rPr>
      </w:pPr>
      <w:r w:rsidRPr="00805B58">
        <w:rPr>
          <w:rFonts w:cs="Arial"/>
          <w:b/>
          <w:sz w:val="24"/>
          <w:szCs w:val="24"/>
          <w:lang w:eastAsia="en-GB"/>
        </w:rPr>
        <w:t>Policies Included in the NDP</w:t>
      </w:r>
    </w:p>
    <w:p w14:paraId="6FFED6C7" w14:textId="7C33A49E" w:rsidR="00805B58" w:rsidRDefault="00805B58" w:rsidP="00897650">
      <w:pPr>
        <w:pStyle w:val="AFWBody"/>
        <w:rPr>
          <w:rFonts w:cs="Arial"/>
          <w:sz w:val="24"/>
          <w:szCs w:val="24"/>
          <w:lang w:eastAsia="en-GB"/>
        </w:rPr>
      </w:pPr>
      <w:r w:rsidRPr="00805B58">
        <w:rPr>
          <w:rFonts w:cs="Arial"/>
          <w:sz w:val="24"/>
          <w:szCs w:val="24"/>
          <w:lang w:eastAsia="en-GB"/>
        </w:rPr>
        <w:t>Neighbourhood plans are not obliged to contain policies addressing all types of development.</w:t>
      </w:r>
      <w:r w:rsidR="00E97889">
        <w:rPr>
          <w:rFonts w:cs="Arial"/>
          <w:sz w:val="24"/>
          <w:szCs w:val="24"/>
          <w:lang w:eastAsia="en-GB"/>
        </w:rPr>
        <w:t xml:space="preserve">  The range and scope of policies to be included in the NDP was considered through production of draft versions of the NDP.  Relevant policy areas and </w:t>
      </w:r>
      <w:r w:rsidR="0028653D">
        <w:rPr>
          <w:rFonts w:cs="Arial"/>
          <w:sz w:val="24"/>
          <w:szCs w:val="24"/>
          <w:lang w:eastAsia="en-GB"/>
        </w:rPr>
        <w:t xml:space="preserve">the SEA findings </w:t>
      </w:r>
      <w:r w:rsidR="00E97889">
        <w:rPr>
          <w:rFonts w:cs="Arial"/>
          <w:sz w:val="24"/>
          <w:szCs w:val="24"/>
          <w:lang w:eastAsia="en-GB"/>
        </w:rPr>
        <w:t>are summarised below.</w:t>
      </w:r>
    </w:p>
    <w:p w14:paraId="1638CC51" w14:textId="77777777" w:rsidR="0028653D" w:rsidRPr="00E07AE7" w:rsidRDefault="0028653D" w:rsidP="0028653D">
      <w:pPr>
        <w:pStyle w:val="AFWBody"/>
        <w:rPr>
          <w:rFonts w:cs="Arial"/>
          <w:sz w:val="24"/>
          <w:szCs w:val="24"/>
        </w:rPr>
      </w:pPr>
      <w:r w:rsidRPr="00E07AE7">
        <w:rPr>
          <w:rFonts w:cs="Arial"/>
          <w:sz w:val="24"/>
          <w:szCs w:val="24"/>
        </w:rPr>
        <w:t xml:space="preserve">The SEA reviewed the policies of the NDP and concluded that </w:t>
      </w:r>
    </w:p>
    <w:p w14:paraId="1C02F141" w14:textId="77777777" w:rsidR="0028653D" w:rsidRPr="00E07AE7" w:rsidRDefault="0028653D" w:rsidP="0028653D">
      <w:pPr>
        <w:pStyle w:val="AFWBody"/>
        <w:rPr>
          <w:rFonts w:cs="Arial"/>
          <w:sz w:val="24"/>
          <w:szCs w:val="24"/>
        </w:rPr>
      </w:pPr>
      <w:r w:rsidRPr="00E07AE7">
        <w:rPr>
          <w:rFonts w:cs="Arial"/>
          <w:sz w:val="24"/>
          <w:szCs w:val="24"/>
        </w:rPr>
        <w:t>The Plan performs well in terms of biodiversity</w:t>
      </w:r>
    </w:p>
    <w:p w14:paraId="37EE1C70" w14:textId="77777777" w:rsidR="0028653D" w:rsidRPr="00E07AE7" w:rsidRDefault="0028653D" w:rsidP="0028653D">
      <w:pPr>
        <w:pStyle w:val="AFWBody"/>
        <w:rPr>
          <w:rFonts w:cs="Arial"/>
          <w:sz w:val="24"/>
          <w:szCs w:val="24"/>
        </w:rPr>
      </w:pPr>
      <w:r w:rsidRPr="00E07AE7">
        <w:rPr>
          <w:rFonts w:cs="Arial"/>
          <w:sz w:val="24"/>
          <w:szCs w:val="24"/>
        </w:rPr>
        <w:t>The plan may help to minimise per capita emissions from the built environment and from transport; however, effects will be minor, and certainly will not be ‘significant’, recognising that climate change is a global issue.</w:t>
      </w:r>
    </w:p>
    <w:p w14:paraId="44C5B5A6" w14:textId="77777777" w:rsidR="0028653D" w:rsidRPr="00E07AE7" w:rsidRDefault="0028653D" w:rsidP="0028653D">
      <w:pPr>
        <w:pStyle w:val="AFWBody"/>
        <w:rPr>
          <w:rFonts w:cs="Arial"/>
          <w:sz w:val="24"/>
          <w:szCs w:val="24"/>
        </w:rPr>
      </w:pPr>
      <w:r w:rsidRPr="00E07AE7">
        <w:rPr>
          <w:rFonts w:cs="Arial"/>
          <w:sz w:val="24"/>
          <w:szCs w:val="24"/>
        </w:rPr>
        <w:t>On flooding, the plan performs very well, with flood risk a clear focus of the plan.</w:t>
      </w:r>
    </w:p>
    <w:p w14:paraId="6FD68DA6" w14:textId="77777777" w:rsidR="0028653D" w:rsidRPr="00E07AE7" w:rsidRDefault="0028653D" w:rsidP="0028653D">
      <w:pPr>
        <w:pStyle w:val="AFWBody"/>
        <w:rPr>
          <w:rFonts w:cs="Arial"/>
          <w:sz w:val="24"/>
          <w:szCs w:val="24"/>
        </w:rPr>
      </w:pPr>
      <w:r w:rsidRPr="00E07AE7">
        <w:rPr>
          <w:rFonts w:cs="Arial"/>
          <w:sz w:val="24"/>
          <w:szCs w:val="24"/>
        </w:rPr>
        <w:t>For heritage, the plan performs very well, with heritage a clear focus of the plan.</w:t>
      </w:r>
    </w:p>
    <w:p w14:paraId="15050C2C" w14:textId="77777777" w:rsidR="0028653D" w:rsidRPr="00E07AE7" w:rsidRDefault="0028653D" w:rsidP="0028653D">
      <w:pPr>
        <w:pStyle w:val="AFWBody"/>
        <w:rPr>
          <w:rFonts w:cs="Arial"/>
          <w:sz w:val="24"/>
          <w:szCs w:val="24"/>
        </w:rPr>
      </w:pPr>
      <w:r w:rsidRPr="00E07AE7">
        <w:rPr>
          <w:rFonts w:cs="Arial"/>
          <w:sz w:val="24"/>
          <w:szCs w:val="24"/>
        </w:rPr>
        <w:t>For landscape, the plan performs very well, with landscape a clear focus of the plan.</w:t>
      </w:r>
    </w:p>
    <w:p w14:paraId="7DB0B8FD" w14:textId="77777777" w:rsidR="0028653D" w:rsidRPr="00E07AE7" w:rsidRDefault="0028653D" w:rsidP="0028653D">
      <w:pPr>
        <w:pStyle w:val="AFWBody"/>
        <w:rPr>
          <w:rFonts w:cs="Arial"/>
          <w:sz w:val="24"/>
          <w:szCs w:val="24"/>
        </w:rPr>
      </w:pPr>
      <w:r w:rsidRPr="00E07AE7">
        <w:rPr>
          <w:rFonts w:cs="Arial"/>
          <w:sz w:val="24"/>
          <w:szCs w:val="24"/>
        </w:rPr>
        <w:t>With respect to the efficient and effective use of land,</w:t>
      </w:r>
      <w:r w:rsidRPr="00E07AE7">
        <w:t xml:space="preserve"> </w:t>
      </w:r>
      <w:r w:rsidRPr="00E07AE7">
        <w:rPr>
          <w:rFonts w:cs="Arial"/>
          <w:sz w:val="24"/>
          <w:szCs w:val="24"/>
        </w:rPr>
        <w:t xml:space="preserve">the effects of the plan are somewhat neutral, </w:t>
      </w:r>
    </w:p>
    <w:p w14:paraId="7FB5CD46" w14:textId="77777777" w:rsidR="0028653D" w:rsidRPr="00E07AE7" w:rsidRDefault="0028653D" w:rsidP="0028653D">
      <w:pPr>
        <w:pStyle w:val="AFWBody"/>
        <w:rPr>
          <w:rFonts w:cs="Arial"/>
          <w:sz w:val="24"/>
          <w:szCs w:val="24"/>
        </w:rPr>
      </w:pPr>
      <w:r w:rsidRPr="00E07AE7">
        <w:rPr>
          <w:rFonts w:cs="Arial"/>
          <w:sz w:val="24"/>
          <w:szCs w:val="24"/>
        </w:rPr>
        <w:t>For waste, the effects of the plan are somewhat neutral.</w:t>
      </w:r>
    </w:p>
    <w:p w14:paraId="7C90F0EF" w14:textId="77777777" w:rsidR="0028653D" w:rsidRPr="00E07AE7" w:rsidRDefault="0028653D" w:rsidP="0028653D">
      <w:pPr>
        <w:pStyle w:val="AFWBody"/>
        <w:rPr>
          <w:rFonts w:cs="Arial"/>
          <w:sz w:val="24"/>
          <w:szCs w:val="24"/>
        </w:rPr>
      </w:pPr>
      <w:r w:rsidRPr="00E07AE7">
        <w:rPr>
          <w:rFonts w:cs="Arial"/>
          <w:sz w:val="24"/>
          <w:szCs w:val="24"/>
        </w:rPr>
        <w:t>With respect to use and management of water resources, the plan may lead to some positive effects; however, it is not possible to conclude ‘significant’ positive effects, recognising no potential to assume further major development in the plan period, over-and-above the baseline</w:t>
      </w:r>
    </w:p>
    <w:p w14:paraId="5F78006D" w14:textId="71C9F4D8" w:rsidR="0028653D" w:rsidRPr="00E07AE7" w:rsidRDefault="0028653D" w:rsidP="0028653D">
      <w:pPr>
        <w:pStyle w:val="AFWBody"/>
        <w:rPr>
          <w:rFonts w:cs="Arial"/>
          <w:sz w:val="24"/>
          <w:szCs w:val="24"/>
        </w:rPr>
      </w:pPr>
      <w:r w:rsidRPr="00E07AE7">
        <w:rPr>
          <w:rFonts w:cs="Arial"/>
          <w:sz w:val="24"/>
          <w:szCs w:val="24"/>
        </w:rPr>
        <w:t xml:space="preserve">With respect </w:t>
      </w:r>
      <w:r w:rsidR="00925CBD" w:rsidRPr="00C914F8">
        <w:rPr>
          <w:rFonts w:cs="Arial"/>
          <w:sz w:val="24"/>
          <w:szCs w:val="24"/>
        </w:rPr>
        <w:t>to</w:t>
      </w:r>
      <w:r w:rsidRPr="00E07AE7">
        <w:rPr>
          <w:rFonts w:cs="Arial"/>
          <w:sz w:val="24"/>
          <w:szCs w:val="24"/>
        </w:rPr>
        <w:t xml:space="preserve"> residents' needs, the plan performs very well, with ‘residents needs’ clearly a main focus of the plan. Policies are proposed that should helpfully supplement the emerging policies of the South Oxfordshire Local Plan. It is appropriate </w:t>
      </w:r>
      <w:r w:rsidR="00925CBD" w:rsidRPr="00C914F8">
        <w:rPr>
          <w:rFonts w:cs="Arial"/>
          <w:sz w:val="24"/>
          <w:szCs w:val="24"/>
        </w:rPr>
        <w:t>to conclude</w:t>
      </w:r>
      <w:r w:rsidRPr="00E07AE7">
        <w:rPr>
          <w:rFonts w:cs="Arial"/>
          <w:sz w:val="24"/>
          <w:szCs w:val="24"/>
        </w:rPr>
        <w:t xml:space="preserve"> the likelihood of significant positive effects.</w:t>
      </w:r>
    </w:p>
    <w:p w14:paraId="19B53C54" w14:textId="77777777" w:rsidR="0028653D" w:rsidRPr="00E07AE7" w:rsidRDefault="0028653D" w:rsidP="0028653D">
      <w:pPr>
        <w:pStyle w:val="AFWBody"/>
        <w:rPr>
          <w:rFonts w:cs="Arial"/>
          <w:sz w:val="24"/>
          <w:szCs w:val="24"/>
        </w:rPr>
      </w:pPr>
      <w:r w:rsidRPr="00E07AE7">
        <w:rPr>
          <w:rFonts w:cs="Arial"/>
          <w:sz w:val="24"/>
          <w:szCs w:val="24"/>
        </w:rPr>
        <w:t>With respect to community, ‘community’ clearly a main focus of the plan.</w:t>
      </w:r>
    </w:p>
    <w:p w14:paraId="58D8171D" w14:textId="32110067" w:rsidR="0028653D" w:rsidRPr="00E07AE7" w:rsidRDefault="0028653D" w:rsidP="0028653D">
      <w:pPr>
        <w:pStyle w:val="AFWBody"/>
        <w:rPr>
          <w:rFonts w:cs="Arial"/>
          <w:sz w:val="24"/>
          <w:szCs w:val="24"/>
        </w:rPr>
      </w:pPr>
      <w:r w:rsidRPr="00E07AE7">
        <w:rPr>
          <w:rFonts w:cs="Arial"/>
          <w:sz w:val="24"/>
          <w:szCs w:val="24"/>
        </w:rPr>
        <w:t xml:space="preserve">For housing, the plan performs well on the basis </w:t>
      </w:r>
      <w:r w:rsidR="00925CBD" w:rsidRPr="00E07AE7">
        <w:rPr>
          <w:rFonts w:cs="Arial"/>
          <w:sz w:val="24"/>
          <w:szCs w:val="24"/>
        </w:rPr>
        <w:t>that:</w:t>
      </w:r>
      <w:r w:rsidRPr="00E07AE7">
        <w:rPr>
          <w:rFonts w:cs="Arial"/>
          <w:sz w:val="24"/>
          <w:szCs w:val="24"/>
        </w:rPr>
        <w:t xml:space="preserve"> </w:t>
      </w:r>
    </w:p>
    <w:p w14:paraId="74FBA101" w14:textId="77777777" w:rsidR="0028653D" w:rsidRPr="00E07AE7" w:rsidRDefault="0028653D" w:rsidP="0028653D">
      <w:pPr>
        <w:pStyle w:val="AFWBody"/>
        <w:rPr>
          <w:rFonts w:cs="Arial"/>
          <w:sz w:val="24"/>
          <w:szCs w:val="24"/>
        </w:rPr>
      </w:pPr>
      <w:r w:rsidRPr="00E07AE7">
        <w:rPr>
          <w:rFonts w:cs="Arial"/>
          <w:sz w:val="24"/>
          <w:szCs w:val="24"/>
        </w:rPr>
        <w:t xml:space="preserve">A) the Greenlight site is allocated, and thereby proactively supported; and </w:t>
      </w:r>
    </w:p>
    <w:p w14:paraId="745C8BA9" w14:textId="77777777" w:rsidR="0028653D" w:rsidRPr="00E07AE7" w:rsidRDefault="0028653D" w:rsidP="0028653D">
      <w:pPr>
        <w:pStyle w:val="AFWBody"/>
        <w:rPr>
          <w:rFonts w:cs="Arial"/>
          <w:sz w:val="24"/>
          <w:szCs w:val="24"/>
        </w:rPr>
      </w:pPr>
      <w:r w:rsidRPr="00E07AE7">
        <w:rPr>
          <w:rFonts w:cs="Arial"/>
          <w:sz w:val="24"/>
          <w:szCs w:val="24"/>
        </w:rPr>
        <w:t>B) policy specifies local priorities in respect of housing mix. Significant positive effects are predicted, on the assumption that there remains the potential to influence the housing mix at the Greenlight site.</w:t>
      </w:r>
    </w:p>
    <w:p w14:paraId="1D66CC9B" w14:textId="77777777" w:rsidR="0028653D" w:rsidRPr="00E07AE7" w:rsidRDefault="0028653D" w:rsidP="0028653D">
      <w:pPr>
        <w:pStyle w:val="AFWBody"/>
        <w:rPr>
          <w:rFonts w:cs="Arial"/>
          <w:sz w:val="24"/>
          <w:szCs w:val="24"/>
        </w:rPr>
      </w:pPr>
      <w:r w:rsidRPr="00E07AE7">
        <w:rPr>
          <w:rFonts w:cs="Arial"/>
          <w:sz w:val="24"/>
          <w:szCs w:val="24"/>
        </w:rPr>
        <w:t>For health, the plan performs very well; however, it is not possible to conclude ‘significant’ positive effects, recognising the wide ranging nature of health determinants (i.e. recognising that that many determinants are largely unrelated to planning).</w:t>
      </w:r>
    </w:p>
    <w:p w14:paraId="0BC413AE" w14:textId="77777777" w:rsidR="0028653D" w:rsidRDefault="0028653D" w:rsidP="0028653D">
      <w:pPr>
        <w:pStyle w:val="AFWBody"/>
        <w:rPr>
          <w:rFonts w:cs="Arial"/>
          <w:sz w:val="24"/>
          <w:szCs w:val="24"/>
        </w:rPr>
      </w:pPr>
      <w:r w:rsidRPr="00E07AE7">
        <w:rPr>
          <w:rFonts w:cs="Arial"/>
          <w:sz w:val="24"/>
          <w:szCs w:val="24"/>
        </w:rPr>
        <w:t>On promoting sustainable transport and reducing the need to travel, the plan performs well; however, it is difficult to conclude significant positive effects, recognising no potential to assume further major development in the plan period, over and above the baseline.</w:t>
      </w:r>
    </w:p>
    <w:p w14:paraId="3B1944B6" w14:textId="045A7A85" w:rsidR="00F32643" w:rsidRDefault="00E07AE7" w:rsidP="00897650">
      <w:pPr>
        <w:pStyle w:val="AFWBody"/>
        <w:rPr>
          <w:rFonts w:cs="Arial"/>
          <w:sz w:val="24"/>
          <w:szCs w:val="24"/>
          <w:lang w:eastAsia="en-GB"/>
        </w:rPr>
      </w:pPr>
      <w:r>
        <w:rPr>
          <w:rFonts w:cs="Arial"/>
          <w:sz w:val="24"/>
          <w:szCs w:val="24"/>
          <w:lang w:eastAsia="en-GB"/>
        </w:rPr>
        <w:t>The SEA evaluated all these policies and determined that t</w:t>
      </w:r>
      <w:r w:rsidR="00F32643">
        <w:rPr>
          <w:rFonts w:cs="Arial"/>
          <w:sz w:val="24"/>
          <w:szCs w:val="24"/>
          <w:lang w:eastAsia="en-GB"/>
        </w:rPr>
        <w:t>he range of policies in the NDP cover</w:t>
      </w:r>
      <w:r>
        <w:rPr>
          <w:rFonts w:cs="Arial"/>
          <w:sz w:val="24"/>
          <w:szCs w:val="24"/>
          <w:lang w:eastAsia="en-GB"/>
        </w:rPr>
        <w:t>ed</w:t>
      </w:r>
      <w:r w:rsidR="00F32643">
        <w:rPr>
          <w:rFonts w:cs="Arial"/>
          <w:sz w:val="24"/>
          <w:szCs w:val="24"/>
          <w:lang w:eastAsia="en-GB"/>
        </w:rPr>
        <w:t xml:space="preserve"> community needs as identified in a Community Survey. </w:t>
      </w:r>
    </w:p>
    <w:p w14:paraId="7F6FA985" w14:textId="6DC2E184" w:rsidR="00E07AE7" w:rsidRPr="00E97889" w:rsidRDefault="00E07AE7" w:rsidP="00E07AE7">
      <w:pPr>
        <w:pStyle w:val="AFWBody"/>
        <w:rPr>
          <w:rFonts w:cs="Arial"/>
          <w:b/>
          <w:sz w:val="24"/>
          <w:szCs w:val="24"/>
          <w:lang w:eastAsia="en-GB"/>
        </w:rPr>
      </w:pPr>
      <w:r>
        <w:rPr>
          <w:rFonts w:cs="Arial"/>
          <w:b/>
          <w:sz w:val="24"/>
          <w:szCs w:val="24"/>
          <w:lang w:eastAsia="en-GB"/>
        </w:rPr>
        <w:lastRenderedPageBreak/>
        <w:t>Development Scenarios</w:t>
      </w:r>
      <w:r w:rsidRPr="00E07AE7">
        <w:rPr>
          <w:rFonts w:cs="Arial"/>
          <w:b/>
          <w:sz w:val="24"/>
          <w:szCs w:val="24"/>
          <w:lang w:eastAsia="en-GB"/>
        </w:rPr>
        <w:t xml:space="preserve"> </w:t>
      </w:r>
      <w:r>
        <w:rPr>
          <w:rFonts w:cs="Arial"/>
          <w:b/>
          <w:sz w:val="24"/>
          <w:szCs w:val="24"/>
          <w:lang w:eastAsia="en-GB"/>
        </w:rPr>
        <w:t xml:space="preserve">and </w:t>
      </w:r>
      <w:r w:rsidRPr="00E97889">
        <w:rPr>
          <w:rFonts w:cs="Arial"/>
          <w:b/>
          <w:sz w:val="24"/>
          <w:szCs w:val="24"/>
          <w:lang w:eastAsia="en-GB"/>
        </w:rPr>
        <w:t>Site Options</w:t>
      </w:r>
    </w:p>
    <w:p w14:paraId="2630B1CC" w14:textId="77777777" w:rsidR="00E07AE7" w:rsidRPr="00142879" w:rsidRDefault="00E07AE7" w:rsidP="00E07AE7">
      <w:pPr>
        <w:pStyle w:val="AFWBody"/>
        <w:rPr>
          <w:rFonts w:cs="Arial"/>
          <w:sz w:val="24"/>
          <w:szCs w:val="24"/>
          <w:lang w:eastAsia="en-GB"/>
        </w:rPr>
      </w:pPr>
      <w:r w:rsidRPr="00F32643">
        <w:rPr>
          <w:rFonts w:cs="Arial"/>
          <w:sz w:val="24"/>
          <w:szCs w:val="24"/>
          <w:lang w:eastAsia="en-GB"/>
        </w:rPr>
        <w:t>The emerging Local Plan (Policy H8) envisages that smaller villages such as East Hagbourne</w:t>
      </w:r>
      <w:r>
        <w:rPr>
          <w:rFonts w:cs="Arial"/>
          <w:sz w:val="24"/>
          <w:szCs w:val="24"/>
          <w:lang w:eastAsia="en-GB"/>
        </w:rPr>
        <w:t xml:space="preserve"> </w:t>
      </w:r>
      <w:r w:rsidRPr="00F32643">
        <w:rPr>
          <w:rFonts w:cs="Arial"/>
          <w:sz w:val="24"/>
          <w:szCs w:val="24"/>
          <w:lang w:eastAsia="en-GB"/>
        </w:rPr>
        <w:t>will be expected to deliver 5% to 10% growth over the plan period to 2033. The Parish</w:t>
      </w:r>
      <w:r>
        <w:rPr>
          <w:rFonts w:cs="Arial"/>
          <w:sz w:val="24"/>
          <w:szCs w:val="24"/>
          <w:lang w:eastAsia="en-GB"/>
        </w:rPr>
        <w:t xml:space="preserve"> </w:t>
      </w:r>
      <w:r w:rsidRPr="00F32643">
        <w:rPr>
          <w:rFonts w:cs="Arial"/>
          <w:sz w:val="24"/>
          <w:szCs w:val="24"/>
          <w:lang w:eastAsia="en-GB"/>
        </w:rPr>
        <w:t>comprises 500 dwellings, which means a need for up to 50 additional homes.</w:t>
      </w:r>
      <w:r w:rsidRPr="00F32643" w:rsidDel="00F32643">
        <w:rPr>
          <w:rFonts w:cs="Arial"/>
          <w:sz w:val="24"/>
          <w:szCs w:val="24"/>
          <w:lang w:eastAsia="en-GB"/>
        </w:rPr>
        <w:t xml:space="preserve"> </w:t>
      </w:r>
      <w:r w:rsidRPr="00142879">
        <w:rPr>
          <w:rFonts w:cs="Arial"/>
          <w:sz w:val="24"/>
          <w:szCs w:val="24"/>
          <w:lang w:eastAsia="en-GB"/>
        </w:rPr>
        <w:t xml:space="preserve">Recognising the </w:t>
      </w:r>
      <w:r>
        <w:rPr>
          <w:rFonts w:cs="Arial"/>
          <w:sz w:val="24"/>
          <w:szCs w:val="24"/>
          <w:lang w:eastAsia="en-GB"/>
        </w:rPr>
        <w:t>high demand for housing in the area, the NDP determined to set a higher target of 75 dwellings.</w:t>
      </w:r>
    </w:p>
    <w:p w14:paraId="6D5823C2" w14:textId="77777777" w:rsidR="00F32643" w:rsidRDefault="00F32643" w:rsidP="00F32643">
      <w:pPr>
        <w:pStyle w:val="AFWBody"/>
        <w:rPr>
          <w:rFonts w:cs="Arial"/>
          <w:sz w:val="24"/>
          <w:szCs w:val="24"/>
          <w:lang w:eastAsia="en-GB"/>
        </w:rPr>
      </w:pPr>
      <w:r w:rsidRPr="00F32643">
        <w:rPr>
          <w:rFonts w:cs="Arial"/>
          <w:sz w:val="24"/>
          <w:szCs w:val="24"/>
          <w:lang w:eastAsia="en-GB"/>
        </w:rPr>
        <w:t>The first step involved ‘screening’ all land within the parish, with a view to identifying a shortlist</w:t>
      </w:r>
      <w:r>
        <w:rPr>
          <w:rFonts w:cs="Arial"/>
          <w:sz w:val="24"/>
          <w:szCs w:val="24"/>
          <w:lang w:eastAsia="en-GB"/>
        </w:rPr>
        <w:t xml:space="preserve"> </w:t>
      </w:r>
      <w:r w:rsidRPr="00F32643">
        <w:rPr>
          <w:rFonts w:cs="Arial"/>
          <w:sz w:val="24"/>
          <w:szCs w:val="24"/>
          <w:lang w:eastAsia="en-GB"/>
        </w:rPr>
        <w:t>of potential site options for further consideration. To facilitate the screening exercise, land</w:t>
      </w:r>
      <w:r>
        <w:rPr>
          <w:rFonts w:cs="Arial"/>
          <w:sz w:val="24"/>
          <w:szCs w:val="24"/>
          <w:lang w:eastAsia="en-GB"/>
        </w:rPr>
        <w:t xml:space="preserve"> </w:t>
      </w:r>
      <w:r w:rsidRPr="00F32643">
        <w:rPr>
          <w:rFonts w:cs="Arial"/>
          <w:sz w:val="24"/>
          <w:szCs w:val="24"/>
          <w:lang w:eastAsia="en-GB"/>
        </w:rPr>
        <w:t>within the parish was divided into ten landscape areas, and then</w:t>
      </w:r>
      <w:r>
        <w:rPr>
          <w:rFonts w:cs="Arial"/>
          <w:sz w:val="24"/>
          <w:szCs w:val="24"/>
          <w:lang w:eastAsia="en-GB"/>
        </w:rPr>
        <w:t xml:space="preserve"> </w:t>
      </w:r>
      <w:r w:rsidRPr="00F32643">
        <w:rPr>
          <w:rFonts w:cs="Arial"/>
          <w:sz w:val="24"/>
          <w:szCs w:val="24"/>
          <w:lang w:eastAsia="en-GB"/>
        </w:rPr>
        <w:t>further subdivided to give a total of 53 land parcels for evaluation</w:t>
      </w:r>
      <w:r>
        <w:rPr>
          <w:rFonts w:cs="Arial"/>
          <w:sz w:val="24"/>
          <w:szCs w:val="24"/>
          <w:lang w:eastAsia="en-GB"/>
        </w:rPr>
        <w:t>.</w:t>
      </w:r>
    </w:p>
    <w:p w14:paraId="52BA84BB" w14:textId="77777777" w:rsidR="00F32643" w:rsidRDefault="00F32643" w:rsidP="00F32643">
      <w:pPr>
        <w:pStyle w:val="AFWBody"/>
        <w:rPr>
          <w:rFonts w:cs="Arial"/>
          <w:sz w:val="24"/>
          <w:szCs w:val="24"/>
          <w:lang w:eastAsia="en-GB"/>
        </w:rPr>
      </w:pPr>
      <w:r w:rsidRPr="00F32643">
        <w:rPr>
          <w:rFonts w:cs="Arial"/>
          <w:sz w:val="24"/>
          <w:szCs w:val="24"/>
          <w:lang w:eastAsia="en-GB"/>
        </w:rPr>
        <w:t>Drawing upon an established ‘toolkit’ (Locality, 2015), and in discussion with SODC, the</w:t>
      </w:r>
      <w:r>
        <w:rPr>
          <w:rFonts w:cs="Arial"/>
          <w:sz w:val="24"/>
          <w:szCs w:val="24"/>
          <w:lang w:eastAsia="en-GB"/>
        </w:rPr>
        <w:t xml:space="preserve"> </w:t>
      </w:r>
      <w:r w:rsidRPr="00F32643">
        <w:rPr>
          <w:rFonts w:cs="Arial"/>
          <w:sz w:val="24"/>
          <w:szCs w:val="24"/>
          <w:lang w:eastAsia="en-GB"/>
        </w:rPr>
        <w:t>following screening criteria were developed and applied to the evaluation of the 53 parcels</w:t>
      </w:r>
      <w:r>
        <w:rPr>
          <w:rFonts w:cs="Arial"/>
          <w:sz w:val="24"/>
          <w:szCs w:val="24"/>
          <w:lang w:eastAsia="en-GB"/>
        </w:rPr>
        <w:t>:</w:t>
      </w:r>
      <w:r w:rsidRPr="00F32643">
        <w:rPr>
          <w:rFonts w:cs="Arial"/>
          <w:sz w:val="24"/>
          <w:szCs w:val="24"/>
          <w:lang w:eastAsia="en-GB"/>
        </w:rPr>
        <w:t xml:space="preserve"> </w:t>
      </w:r>
    </w:p>
    <w:p w14:paraId="5C8241FF" w14:textId="77777777" w:rsidR="007D7B2A" w:rsidRDefault="007D7B2A" w:rsidP="00F32643">
      <w:pPr>
        <w:pStyle w:val="AFWBody"/>
        <w:rPr>
          <w:rFonts w:cs="Arial"/>
          <w:sz w:val="24"/>
          <w:szCs w:val="24"/>
          <w:lang w:eastAsia="en-GB"/>
        </w:rPr>
      </w:pPr>
      <w:r>
        <w:rPr>
          <w:rFonts w:cs="Arial"/>
          <w:sz w:val="24"/>
          <w:szCs w:val="24"/>
          <w:lang w:eastAsia="en-GB"/>
        </w:rPr>
        <w:t xml:space="preserve">- </w:t>
      </w:r>
      <w:r w:rsidR="00F32643" w:rsidRPr="00F32643">
        <w:rPr>
          <w:rFonts w:cs="Arial"/>
          <w:sz w:val="24"/>
          <w:szCs w:val="24"/>
          <w:lang w:eastAsia="en-GB"/>
        </w:rPr>
        <w:t>Is the site closely related to, and we</w:t>
      </w:r>
      <w:r>
        <w:rPr>
          <w:rFonts w:cs="Arial"/>
          <w:sz w:val="24"/>
          <w:szCs w:val="24"/>
          <w:lang w:eastAsia="en-GB"/>
        </w:rPr>
        <w:t>ll integrated with the village?</w:t>
      </w:r>
    </w:p>
    <w:p w14:paraId="3FBD4B65" w14:textId="5F86EDE0" w:rsidR="00F32643" w:rsidRPr="00F32643" w:rsidRDefault="007D7B2A" w:rsidP="00F32643">
      <w:pPr>
        <w:pStyle w:val="AFWBody"/>
        <w:rPr>
          <w:rFonts w:cs="Arial"/>
          <w:sz w:val="24"/>
          <w:szCs w:val="24"/>
          <w:lang w:eastAsia="en-GB"/>
        </w:rPr>
      </w:pPr>
      <w:r>
        <w:rPr>
          <w:rFonts w:cs="Arial"/>
          <w:sz w:val="24"/>
          <w:szCs w:val="24"/>
          <w:lang w:eastAsia="en-GB"/>
        </w:rPr>
        <w:t>-</w:t>
      </w:r>
      <w:r w:rsidR="00F32643" w:rsidRPr="00F32643">
        <w:rPr>
          <w:rFonts w:cs="Arial"/>
          <w:sz w:val="24"/>
          <w:szCs w:val="24"/>
          <w:lang w:eastAsia="en-GB"/>
        </w:rPr>
        <w:t xml:space="preserve"> Is the site easily accessible to EH services and facilities by both roads &amp; footpaths?</w:t>
      </w:r>
    </w:p>
    <w:p w14:paraId="5C0227F9" w14:textId="50A5D92D" w:rsidR="00F32643" w:rsidRPr="00F32643" w:rsidRDefault="007D7B2A" w:rsidP="00F32643">
      <w:pPr>
        <w:pStyle w:val="AFWBody"/>
        <w:rPr>
          <w:rFonts w:cs="Arial"/>
          <w:sz w:val="24"/>
          <w:szCs w:val="24"/>
          <w:lang w:eastAsia="en-GB"/>
        </w:rPr>
      </w:pPr>
      <w:r>
        <w:rPr>
          <w:rFonts w:cs="Arial"/>
          <w:sz w:val="24"/>
          <w:szCs w:val="24"/>
          <w:lang w:eastAsia="en-GB"/>
        </w:rPr>
        <w:t>-</w:t>
      </w:r>
      <w:r w:rsidR="00F32643" w:rsidRPr="00F32643">
        <w:rPr>
          <w:rFonts w:cs="Arial"/>
          <w:sz w:val="24"/>
          <w:szCs w:val="24"/>
          <w:lang w:eastAsia="en-GB"/>
        </w:rPr>
        <w:t xml:space="preserve"> Does the site flood or could it create flooding /environmental issues?</w:t>
      </w:r>
    </w:p>
    <w:p w14:paraId="59C463D5" w14:textId="05D5291A" w:rsidR="00F32643" w:rsidRPr="00F32643" w:rsidRDefault="007D7B2A" w:rsidP="00F32643">
      <w:pPr>
        <w:pStyle w:val="AFWBody"/>
        <w:rPr>
          <w:rFonts w:cs="Arial"/>
          <w:sz w:val="24"/>
          <w:szCs w:val="24"/>
          <w:lang w:eastAsia="en-GB"/>
        </w:rPr>
      </w:pPr>
      <w:r>
        <w:rPr>
          <w:rFonts w:cs="Arial"/>
          <w:sz w:val="24"/>
          <w:szCs w:val="24"/>
          <w:lang w:eastAsia="en-GB"/>
        </w:rPr>
        <w:t>-</w:t>
      </w:r>
      <w:r w:rsidR="00F32643" w:rsidRPr="00F32643">
        <w:rPr>
          <w:rFonts w:cs="Arial"/>
          <w:sz w:val="24"/>
          <w:szCs w:val="24"/>
          <w:lang w:eastAsia="en-GB"/>
        </w:rPr>
        <w:t xml:space="preserve"> Will development impact the Conservation Area or the setting of the AONB?</w:t>
      </w:r>
    </w:p>
    <w:p w14:paraId="728BEB57" w14:textId="77777777" w:rsidR="007D7B2A" w:rsidRDefault="00F32643" w:rsidP="00F32643">
      <w:pPr>
        <w:pStyle w:val="AFWBody"/>
        <w:rPr>
          <w:rFonts w:cs="Arial"/>
          <w:sz w:val="24"/>
          <w:szCs w:val="24"/>
          <w:lang w:eastAsia="en-GB"/>
        </w:rPr>
      </w:pPr>
      <w:r w:rsidRPr="00F32643">
        <w:rPr>
          <w:rFonts w:cs="Arial"/>
          <w:sz w:val="24"/>
          <w:szCs w:val="24"/>
          <w:lang w:eastAsia="en-GB"/>
        </w:rPr>
        <w:t>As a result of the screening exercise, six sites emerged as warranting detailed assessm</w:t>
      </w:r>
      <w:r w:rsidR="007D7B2A">
        <w:rPr>
          <w:rFonts w:cs="Arial"/>
          <w:sz w:val="24"/>
          <w:szCs w:val="24"/>
          <w:lang w:eastAsia="en-GB"/>
        </w:rPr>
        <w:t>ent.</w:t>
      </w:r>
    </w:p>
    <w:p w14:paraId="3814A668" w14:textId="5692F134" w:rsidR="007D7B2A" w:rsidRPr="007D7B2A" w:rsidRDefault="007D7B2A" w:rsidP="007D7B2A">
      <w:pPr>
        <w:pStyle w:val="AFWBody"/>
        <w:rPr>
          <w:rFonts w:cs="Arial"/>
          <w:sz w:val="24"/>
          <w:szCs w:val="24"/>
          <w:lang w:eastAsia="en-GB"/>
        </w:rPr>
      </w:pPr>
      <w:r w:rsidRPr="007D7B2A">
        <w:rPr>
          <w:rFonts w:cs="Arial"/>
          <w:sz w:val="24"/>
          <w:szCs w:val="24"/>
          <w:lang w:eastAsia="en-GB"/>
        </w:rPr>
        <w:t>The six shortlisted sites were subjected to more systematic, criteria-based</w:t>
      </w:r>
      <w:r>
        <w:rPr>
          <w:rFonts w:cs="Arial"/>
          <w:sz w:val="24"/>
          <w:szCs w:val="24"/>
          <w:lang w:eastAsia="en-GB"/>
        </w:rPr>
        <w:t xml:space="preserve"> </w:t>
      </w:r>
      <w:r w:rsidRPr="007D7B2A">
        <w:rPr>
          <w:rFonts w:cs="Arial"/>
          <w:sz w:val="24"/>
          <w:szCs w:val="24"/>
          <w:lang w:eastAsia="en-GB"/>
        </w:rPr>
        <w:t>assessment. Assessments were primarily carried out based on the intrinsic characteristics of</w:t>
      </w:r>
      <w:r>
        <w:rPr>
          <w:rFonts w:cs="Arial"/>
          <w:sz w:val="24"/>
          <w:szCs w:val="24"/>
          <w:lang w:eastAsia="en-GB"/>
        </w:rPr>
        <w:t xml:space="preserve"> </w:t>
      </w:r>
      <w:r w:rsidRPr="007D7B2A">
        <w:rPr>
          <w:rFonts w:cs="Arial"/>
          <w:sz w:val="24"/>
          <w:szCs w:val="24"/>
          <w:lang w:eastAsia="en-GB"/>
        </w:rPr>
        <w:t>the site, regardless of any planning proposal that may have been made; however, where</w:t>
      </w:r>
      <w:r>
        <w:rPr>
          <w:rFonts w:cs="Arial"/>
          <w:sz w:val="24"/>
          <w:szCs w:val="24"/>
          <w:lang w:eastAsia="en-GB"/>
        </w:rPr>
        <w:t xml:space="preserve"> </w:t>
      </w:r>
      <w:r w:rsidRPr="007D7B2A">
        <w:rPr>
          <w:rFonts w:cs="Arial"/>
          <w:sz w:val="24"/>
          <w:szCs w:val="24"/>
          <w:lang w:eastAsia="en-GB"/>
        </w:rPr>
        <w:t>proposals existed, these were acknowledged through three supplementary criteria.</w:t>
      </w:r>
    </w:p>
    <w:p w14:paraId="5B483AC8" w14:textId="77777777" w:rsidR="007D7B2A" w:rsidRDefault="007D7B2A" w:rsidP="007D7B2A">
      <w:pPr>
        <w:pStyle w:val="AFWBody"/>
        <w:rPr>
          <w:rFonts w:cs="Arial"/>
          <w:sz w:val="24"/>
          <w:szCs w:val="24"/>
          <w:lang w:eastAsia="en-GB"/>
        </w:rPr>
      </w:pPr>
      <w:r w:rsidRPr="007D7B2A">
        <w:rPr>
          <w:rFonts w:cs="Arial"/>
          <w:sz w:val="24"/>
          <w:szCs w:val="24"/>
          <w:lang w:eastAsia="en-GB"/>
        </w:rPr>
        <w:t>Ultimately the decision was reached that, in addition to the Greenlight site with outline</w:t>
      </w:r>
      <w:r>
        <w:rPr>
          <w:rFonts w:cs="Arial"/>
          <w:sz w:val="24"/>
          <w:szCs w:val="24"/>
          <w:lang w:eastAsia="en-GB"/>
        </w:rPr>
        <w:t xml:space="preserve"> </w:t>
      </w:r>
      <w:r w:rsidRPr="007D7B2A">
        <w:rPr>
          <w:rFonts w:cs="Arial"/>
          <w:sz w:val="24"/>
          <w:szCs w:val="24"/>
          <w:lang w:eastAsia="en-GB"/>
        </w:rPr>
        <w:t>planning permission, there is one other site that might be considered for allocation. This site is</w:t>
      </w:r>
      <w:r>
        <w:rPr>
          <w:rFonts w:cs="Arial"/>
          <w:sz w:val="24"/>
          <w:szCs w:val="24"/>
          <w:lang w:eastAsia="en-GB"/>
        </w:rPr>
        <w:t xml:space="preserve"> </w:t>
      </w:r>
      <w:r w:rsidRPr="007D7B2A">
        <w:rPr>
          <w:rFonts w:cs="Arial"/>
          <w:sz w:val="24"/>
          <w:szCs w:val="24"/>
          <w:lang w:eastAsia="en-GB"/>
        </w:rPr>
        <w:t>‘Orchestra’ (otherwise known as East Tadley Field A, 78 homes).</w:t>
      </w:r>
      <w:r w:rsidR="00F32643" w:rsidRPr="00F32643" w:rsidDel="00F32643">
        <w:rPr>
          <w:rFonts w:cs="Arial"/>
          <w:sz w:val="24"/>
          <w:szCs w:val="24"/>
          <w:lang w:eastAsia="en-GB"/>
        </w:rPr>
        <w:t xml:space="preserve"> </w:t>
      </w:r>
    </w:p>
    <w:p w14:paraId="452C6E4F" w14:textId="0E64725F" w:rsidR="007D7B2A" w:rsidRPr="007D7B2A" w:rsidRDefault="007D7B2A" w:rsidP="007D7B2A">
      <w:pPr>
        <w:pStyle w:val="AFWBody"/>
        <w:rPr>
          <w:rFonts w:cs="Arial"/>
          <w:sz w:val="24"/>
          <w:szCs w:val="24"/>
          <w:lang w:eastAsia="en-GB"/>
        </w:rPr>
      </w:pPr>
      <w:r w:rsidRPr="007D7B2A">
        <w:rPr>
          <w:rFonts w:cs="Arial"/>
          <w:sz w:val="24"/>
          <w:szCs w:val="24"/>
          <w:lang w:eastAsia="en-GB"/>
        </w:rPr>
        <w:t>In light of these considerations, the following two housing growth scenarios were established</w:t>
      </w:r>
      <w:r>
        <w:rPr>
          <w:rFonts w:cs="Arial"/>
          <w:sz w:val="24"/>
          <w:szCs w:val="24"/>
          <w:lang w:eastAsia="en-GB"/>
        </w:rPr>
        <w:t xml:space="preserve"> </w:t>
      </w:r>
      <w:r w:rsidRPr="007D7B2A">
        <w:rPr>
          <w:rFonts w:cs="Arial"/>
          <w:sz w:val="24"/>
          <w:szCs w:val="24"/>
          <w:lang w:eastAsia="en-GB"/>
        </w:rPr>
        <w:t>for assessment -</w:t>
      </w:r>
    </w:p>
    <w:p w14:paraId="5490AE41" w14:textId="77777777" w:rsidR="007D7B2A" w:rsidRPr="007D7B2A" w:rsidRDefault="007D7B2A" w:rsidP="007D7B2A">
      <w:pPr>
        <w:pStyle w:val="AFWBody"/>
        <w:rPr>
          <w:rFonts w:cs="Arial"/>
          <w:sz w:val="24"/>
          <w:szCs w:val="24"/>
          <w:lang w:eastAsia="en-GB"/>
        </w:rPr>
      </w:pPr>
      <w:r w:rsidRPr="007D7B2A">
        <w:rPr>
          <w:rFonts w:cs="Arial"/>
          <w:sz w:val="24"/>
          <w:szCs w:val="24"/>
          <w:lang w:eastAsia="en-GB"/>
        </w:rPr>
        <w:t>1) Allocate Greenlight only (74 homes) only</w:t>
      </w:r>
    </w:p>
    <w:p w14:paraId="0AFA94F0" w14:textId="6366BD25" w:rsidR="00E97889" w:rsidRDefault="007D7B2A" w:rsidP="007D7B2A">
      <w:pPr>
        <w:pStyle w:val="AFWBody"/>
        <w:rPr>
          <w:rFonts w:cs="Arial"/>
          <w:sz w:val="24"/>
          <w:szCs w:val="24"/>
          <w:lang w:eastAsia="en-GB"/>
        </w:rPr>
      </w:pPr>
      <w:r w:rsidRPr="007D7B2A">
        <w:rPr>
          <w:rFonts w:cs="Arial"/>
          <w:sz w:val="24"/>
          <w:szCs w:val="24"/>
          <w:lang w:eastAsia="en-GB"/>
        </w:rPr>
        <w:t xml:space="preserve">2) </w:t>
      </w:r>
      <w:hyperlink r:id="rId12" w:history="1">
        <w:r w:rsidRPr="00863C2F">
          <w:rPr>
            <w:rStyle w:val="Hyperlink"/>
            <w:rFonts w:cs="Arial"/>
            <w:sz w:val="24"/>
            <w:szCs w:val="24"/>
            <w:lang w:eastAsia="en-GB"/>
          </w:rPr>
          <w:t>Allocate both Greenlight</w:t>
        </w:r>
      </w:hyperlink>
      <w:r w:rsidRPr="007D7B2A">
        <w:rPr>
          <w:rFonts w:cs="Arial"/>
          <w:sz w:val="24"/>
          <w:szCs w:val="24"/>
          <w:lang w:eastAsia="en-GB"/>
        </w:rPr>
        <w:t xml:space="preserve"> (74 homes) and Orchestra (up to 78 homes)</w:t>
      </w:r>
      <w:r w:rsidRPr="007D7B2A" w:rsidDel="00F32643">
        <w:rPr>
          <w:rFonts w:cs="Arial"/>
          <w:sz w:val="24"/>
          <w:szCs w:val="24"/>
          <w:lang w:eastAsia="en-GB"/>
        </w:rPr>
        <w:t xml:space="preserve"> </w:t>
      </w:r>
    </w:p>
    <w:p w14:paraId="1DAEF8EA" w14:textId="14B86EA9" w:rsidR="009364D9" w:rsidRPr="00142879" w:rsidRDefault="00E07AE7" w:rsidP="009364D9">
      <w:pPr>
        <w:rPr>
          <w:rFonts w:ascii="Arial" w:hAnsi="Arial" w:cs="Arial"/>
          <w:sz w:val="24"/>
          <w:szCs w:val="24"/>
        </w:rPr>
      </w:pPr>
      <w:r>
        <w:rPr>
          <w:rFonts w:ascii="Arial" w:hAnsi="Arial" w:cs="Arial"/>
          <w:sz w:val="24"/>
          <w:szCs w:val="24"/>
        </w:rPr>
        <w:t>SA</w:t>
      </w:r>
      <w:r w:rsidR="009364D9" w:rsidRPr="00142879">
        <w:rPr>
          <w:rFonts w:ascii="Arial" w:hAnsi="Arial" w:cs="Arial"/>
          <w:sz w:val="24"/>
          <w:szCs w:val="24"/>
        </w:rPr>
        <w:t xml:space="preserve"> conclusion</w:t>
      </w:r>
      <w:r w:rsidR="009364D9">
        <w:rPr>
          <w:rFonts w:ascii="Arial" w:hAnsi="Arial" w:cs="Arial"/>
          <w:sz w:val="24"/>
          <w:szCs w:val="24"/>
        </w:rPr>
        <w:t>:</w:t>
      </w:r>
    </w:p>
    <w:p w14:paraId="22CF5E95" w14:textId="4EA2CFE1" w:rsidR="0050628A" w:rsidRDefault="009364D9" w:rsidP="009364D9">
      <w:pPr>
        <w:rPr>
          <w:rFonts w:ascii="Arial" w:hAnsi="Arial" w:cs="Arial"/>
          <w:sz w:val="24"/>
          <w:szCs w:val="24"/>
        </w:rPr>
      </w:pPr>
      <w:r w:rsidRPr="00142879">
        <w:rPr>
          <w:rFonts w:ascii="Arial" w:hAnsi="Arial" w:cs="Arial"/>
          <w:sz w:val="24"/>
          <w:szCs w:val="24"/>
        </w:rPr>
        <w:t>The broad conclusion is that allocation of both sites (Option 2) would lead to a range of concerns over-and</w:t>
      </w:r>
      <w:r w:rsidR="00142879">
        <w:rPr>
          <w:rFonts w:ascii="Arial" w:hAnsi="Arial" w:cs="Arial"/>
          <w:sz w:val="24"/>
          <w:szCs w:val="24"/>
        </w:rPr>
        <w:t xml:space="preserve"> </w:t>
      </w:r>
      <w:r w:rsidRPr="00142879">
        <w:rPr>
          <w:rFonts w:ascii="Arial" w:hAnsi="Arial" w:cs="Arial"/>
          <w:sz w:val="24"/>
          <w:szCs w:val="24"/>
        </w:rPr>
        <w:t>above</w:t>
      </w:r>
      <w:r>
        <w:rPr>
          <w:rFonts w:ascii="Arial" w:hAnsi="Arial" w:cs="Arial"/>
          <w:sz w:val="24"/>
          <w:szCs w:val="24"/>
        </w:rPr>
        <w:t xml:space="preserve"> </w:t>
      </w:r>
      <w:r w:rsidRPr="00142879">
        <w:rPr>
          <w:rFonts w:ascii="Arial" w:hAnsi="Arial" w:cs="Arial"/>
          <w:sz w:val="24"/>
          <w:szCs w:val="24"/>
        </w:rPr>
        <w:t>Option 1, most notably in respect of landscape and loss of best and most versatile (potentially</w:t>
      </w:r>
      <w:r>
        <w:rPr>
          <w:rFonts w:ascii="Arial" w:hAnsi="Arial" w:cs="Arial"/>
          <w:sz w:val="24"/>
          <w:szCs w:val="24"/>
        </w:rPr>
        <w:t xml:space="preserve"> </w:t>
      </w:r>
      <w:r w:rsidRPr="00142879">
        <w:rPr>
          <w:rFonts w:ascii="Arial" w:hAnsi="Arial" w:cs="Arial"/>
          <w:sz w:val="24"/>
          <w:szCs w:val="24"/>
        </w:rPr>
        <w:t>‘grade 1’) agricultural land. It is fair to conclude that allocation of both sites (Option 2) is supported in</w:t>
      </w:r>
      <w:r>
        <w:rPr>
          <w:rFonts w:ascii="Arial" w:hAnsi="Arial" w:cs="Arial"/>
          <w:sz w:val="24"/>
          <w:szCs w:val="24"/>
        </w:rPr>
        <w:t xml:space="preserve"> </w:t>
      </w:r>
      <w:r w:rsidRPr="00142879">
        <w:rPr>
          <w:rFonts w:ascii="Arial" w:hAnsi="Arial" w:cs="Arial"/>
          <w:sz w:val="24"/>
          <w:szCs w:val="24"/>
        </w:rPr>
        <w:t>respect of ‘housing’ objectives; however, this is not a clear cut conclusion, as there is evidence to suggest</w:t>
      </w:r>
      <w:r>
        <w:rPr>
          <w:rFonts w:ascii="Arial" w:hAnsi="Arial" w:cs="Arial"/>
          <w:sz w:val="24"/>
          <w:szCs w:val="24"/>
        </w:rPr>
        <w:t xml:space="preserve"> </w:t>
      </w:r>
      <w:r w:rsidRPr="00142879">
        <w:rPr>
          <w:rFonts w:ascii="Arial" w:hAnsi="Arial" w:cs="Arial"/>
          <w:sz w:val="24"/>
          <w:szCs w:val="24"/>
        </w:rPr>
        <w:t>that local housing needs (i.e. needs arising from the Parish) would be met under Option 1.</w:t>
      </w:r>
    </w:p>
    <w:p w14:paraId="44300AFA" w14:textId="45AF3A2E" w:rsidR="00E07AE7" w:rsidRPr="00E07AE7" w:rsidRDefault="00E07AE7" w:rsidP="00E07AE7">
      <w:pPr>
        <w:pStyle w:val="AFWBulletsBW"/>
        <w:numPr>
          <w:ilvl w:val="0"/>
          <w:numId w:val="0"/>
        </w:numPr>
        <w:rPr>
          <w:rFonts w:cs="Arial"/>
          <w:color w:val="auto"/>
          <w:sz w:val="24"/>
          <w:szCs w:val="24"/>
        </w:rPr>
      </w:pPr>
      <w:r w:rsidRPr="00E07AE7">
        <w:rPr>
          <w:rFonts w:cs="Arial"/>
          <w:color w:val="auto"/>
          <w:sz w:val="24"/>
          <w:szCs w:val="24"/>
        </w:rPr>
        <w:t>The Parish Council supported th</w:t>
      </w:r>
      <w:r>
        <w:rPr>
          <w:rFonts w:cs="Arial"/>
          <w:color w:val="auto"/>
          <w:sz w:val="24"/>
          <w:szCs w:val="24"/>
        </w:rPr>
        <w:t>e</w:t>
      </w:r>
      <w:r w:rsidRPr="00E07AE7">
        <w:rPr>
          <w:rFonts w:cs="Arial"/>
          <w:color w:val="auto"/>
          <w:sz w:val="24"/>
          <w:szCs w:val="24"/>
        </w:rPr>
        <w:t xml:space="preserve"> conclusion</w:t>
      </w:r>
      <w:r>
        <w:rPr>
          <w:rFonts w:cs="Arial"/>
          <w:color w:val="auto"/>
          <w:sz w:val="24"/>
          <w:szCs w:val="24"/>
        </w:rPr>
        <w:t xml:space="preserve"> that Option 1 was more sustainable and the Plan allocated the Greenlight site</w:t>
      </w:r>
      <w:r w:rsidRPr="00E07AE7">
        <w:rPr>
          <w:rFonts w:cs="Arial"/>
          <w:color w:val="auto"/>
          <w:sz w:val="24"/>
          <w:szCs w:val="24"/>
        </w:rPr>
        <w:t>.</w:t>
      </w:r>
    </w:p>
    <w:p w14:paraId="570DB6F0" w14:textId="77777777" w:rsidR="00E07AE7" w:rsidRDefault="00E07AE7" w:rsidP="009364D9">
      <w:pPr>
        <w:rPr>
          <w:rFonts w:ascii="Arial" w:hAnsi="Arial" w:cs="Arial"/>
          <w:sz w:val="24"/>
          <w:szCs w:val="24"/>
        </w:rPr>
      </w:pPr>
    </w:p>
    <w:p w14:paraId="3A7A3555" w14:textId="77777777" w:rsidR="0050628A" w:rsidRDefault="0050628A" w:rsidP="009364D9">
      <w:pPr>
        <w:rPr>
          <w:rFonts w:ascii="Arial" w:hAnsi="Arial" w:cs="Arial"/>
          <w:sz w:val="24"/>
          <w:szCs w:val="24"/>
        </w:rPr>
      </w:pPr>
    </w:p>
    <w:p w14:paraId="58A78DF5" w14:textId="6C602D2F" w:rsidR="009A62A2" w:rsidRDefault="009A62A2" w:rsidP="00142879">
      <w:pPr>
        <w:autoSpaceDE w:val="0"/>
        <w:autoSpaceDN w:val="0"/>
        <w:adjustRightInd w:val="0"/>
        <w:rPr>
          <w:rFonts w:ascii="Arial" w:hAnsi="Arial" w:cs="Arial"/>
          <w:b/>
          <w:color w:val="000000"/>
          <w:sz w:val="24"/>
          <w:szCs w:val="24"/>
        </w:rPr>
      </w:pPr>
      <w:r>
        <w:rPr>
          <w:rFonts w:cs="Arial"/>
          <w:b/>
          <w:sz w:val="24"/>
          <w:szCs w:val="24"/>
        </w:rPr>
        <w:br w:type="page"/>
      </w:r>
    </w:p>
    <w:p w14:paraId="6F8AEFCE" w14:textId="798E06CB" w:rsidR="00BD0066" w:rsidRDefault="00BD0066" w:rsidP="007721F2">
      <w:pPr>
        <w:pStyle w:val="AFWBody"/>
        <w:numPr>
          <w:ilvl w:val="0"/>
          <w:numId w:val="9"/>
        </w:numPr>
        <w:rPr>
          <w:rFonts w:cs="Arial"/>
          <w:b/>
          <w:sz w:val="24"/>
          <w:szCs w:val="24"/>
        </w:rPr>
      </w:pPr>
      <w:r w:rsidRPr="00BD0066">
        <w:rPr>
          <w:rFonts w:cs="Arial"/>
          <w:b/>
          <w:sz w:val="24"/>
          <w:szCs w:val="24"/>
        </w:rPr>
        <w:lastRenderedPageBreak/>
        <w:t>THE MEASURES THAT ARE TO BE TAKEN TO MONITOR THE SIGNIFICANT ENVIRONMENTAL AND SUSTAINABILITY EFFECTS OF THE IMPLEMENTATION OF THE NDP</w:t>
      </w:r>
    </w:p>
    <w:p w14:paraId="51158AB6" w14:textId="6B53E2A7" w:rsidR="00BD0066" w:rsidRPr="00A3005F" w:rsidRDefault="00BD0066" w:rsidP="00BD0066">
      <w:pPr>
        <w:pStyle w:val="AFWBody"/>
        <w:rPr>
          <w:rFonts w:cs="Arial"/>
          <w:b/>
          <w:sz w:val="24"/>
          <w:szCs w:val="24"/>
        </w:rPr>
      </w:pPr>
      <w:r w:rsidRPr="00A3005F">
        <w:rPr>
          <w:rFonts w:cs="Arial"/>
          <w:b/>
          <w:sz w:val="24"/>
          <w:szCs w:val="24"/>
        </w:rPr>
        <w:t>6.1</w:t>
      </w:r>
      <w:r w:rsidRPr="00A3005F">
        <w:rPr>
          <w:rFonts w:cs="Arial"/>
          <w:b/>
          <w:sz w:val="24"/>
          <w:szCs w:val="24"/>
        </w:rPr>
        <w:tab/>
        <w:t>O</w:t>
      </w:r>
      <w:r w:rsidR="00F84DCC" w:rsidRPr="00A3005F">
        <w:rPr>
          <w:rFonts w:cs="Arial"/>
          <w:b/>
          <w:sz w:val="24"/>
          <w:szCs w:val="24"/>
        </w:rPr>
        <w:t>verview</w:t>
      </w:r>
    </w:p>
    <w:p w14:paraId="44BA7973" w14:textId="0D4F6334" w:rsidR="00576A40" w:rsidRPr="00576A40" w:rsidRDefault="00BD0066" w:rsidP="00BD0066">
      <w:pPr>
        <w:pStyle w:val="AFWBody"/>
        <w:rPr>
          <w:sz w:val="24"/>
          <w:szCs w:val="24"/>
        </w:rPr>
      </w:pPr>
      <w:r w:rsidRPr="00576A40">
        <w:rPr>
          <w:sz w:val="24"/>
          <w:szCs w:val="24"/>
        </w:rPr>
        <w:t>The SEA Regulations (17 (1)) set out that “</w:t>
      </w:r>
      <w:r w:rsidRPr="00576A40">
        <w:rPr>
          <w:i/>
          <w:sz w:val="24"/>
          <w:szCs w:val="24"/>
        </w:rPr>
        <w:t>The responsible authority shall monitor the significant environmental effects of the implementation of each plan or programme with the purpose of identifying any unforeseen adverse effects at an early stage and being able to undertake appropriate remedial action</w:t>
      </w:r>
      <w:r w:rsidRPr="00576A40">
        <w:rPr>
          <w:sz w:val="24"/>
          <w:szCs w:val="24"/>
        </w:rPr>
        <w:t xml:space="preserve">”.  </w:t>
      </w:r>
    </w:p>
    <w:p w14:paraId="2BCBD334" w14:textId="759C634B" w:rsidR="00BD0066" w:rsidRPr="00576A40" w:rsidRDefault="00576A40" w:rsidP="00BD0066">
      <w:pPr>
        <w:pStyle w:val="AFWBody"/>
        <w:rPr>
          <w:sz w:val="24"/>
          <w:szCs w:val="24"/>
        </w:rPr>
      </w:pPr>
      <w:r w:rsidRPr="00576A40">
        <w:rPr>
          <w:sz w:val="24"/>
          <w:szCs w:val="24"/>
        </w:rPr>
        <w:t>The District Council is the responsible authority for the purposes of monitoring the NDP.  Planning Practice Guidance states:</w:t>
      </w:r>
    </w:p>
    <w:p w14:paraId="22C834C0" w14:textId="415D4453" w:rsidR="00576A40" w:rsidRDefault="00576A40" w:rsidP="00BD0066">
      <w:pPr>
        <w:pStyle w:val="AFWBody"/>
        <w:rPr>
          <w:rFonts w:cs="Arial"/>
          <w:sz w:val="24"/>
          <w:szCs w:val="24"/>
        </w:rPr>
      </w:pPr>
      <w:r>
        <w:rPr>
          <w:rFonts w:cs="Arial"/>
          <w:sz w:val="24"/>
          <w:szCs w:val="24"/>
        </w:rPr>
        <w:t>“</w:t>
      </w:r>
      <w:r w:rsidRPr="00576A40">
        <w:rPr>
          <w:rFonts w:cs="Arial"/>
          <w:i/>
          <w:sz w:val="24"/>
          <w:szCs w:val="24"/>
        </w:rPr>
        <w:t>Monitoring the significant effects of the implementation of a neighbourhood plan that was subject to a strategic environmental assessment should be undertaken (see regulation 17 of the Environmental Assessment of Plans and Programmes Regulations 2004). This will enable unforeseen adverse effects to be identified at an early stage and to enable appropriate remedial actions. The local planning authority should consider arrangements to monitor the significant effects of implementing the neighbourhood plan and reporting this issue in its Monitoring Report</w:t>
      </w:r>
      <w:r w:rsidRPr="00576A40">
        <w:rPr>
          <w:rFonts w:cs="Arial"/>
          <w:sz w:val="24"/>
          <w:szCs w:val="24"/>
        </w:rPr>
        <w:t>.</w:t>
      </w:r>
      <w:r>
        <w:rPr>
          <w:rFonts w:cs="Arial"/>
          <w:sz w:val="24"/>
          <w:szCs w:val="24"/>
        </w:rPr>
        <w:t>”</w:t>
      </w:r>
    </w:p>
    <w:p w14:paraId="3B414901" w14:textId="60D88EBA" w:rsidR="00E07AE7" w:rsidRDefault="00E07AE7" w:rsidP="00BD0066">
      <w:pPr>
        <w:pStyle w:val="AFWBody"/>
        <w:rPr>
          <w:rFonts w:cs="Arial"/>
          <w:sz w:val="24"/>
          <w:szCs w:val="24"/>
        </w:rPr>
      </w:pPr>
      <w:r>
        <w:rPr>
          <w:rFonts w:cs="Arial"/>
          <w:sz w:val="24"/>
          <w:szCs w:val="24"/>
        </w:rPr>
        <w:t>The Local Plan contains a number of monitoring indicators that cover the topics identified in the SEA Directive.  These will be used to monitor the effects of the Development Plan, including the East Hagbourne NDP. Appendix A of this document sets out the monitoring indicators for the Local Plan. The Council’s Authority Monitoring Plan will be produced annually with information updated as it becomes available</w:t>
      </w:r>
    </w:p>
    <w:p w14:paraId="71691918" w14:textId="77777777" w:rsidR="00E07AE7" w:rsidRDefault="0050628A" w:rsidP="00E07AE7">
      <w:pPr>
        <w:pStyle w:val="AFWBody"/>
        <w:rPr>
          <w:rFonts w:cs="Arial"/>
          <w:sz w:val="24"/>
          <w:szCs w:val="24"/>
        </w:rPr>
      </w:pPr>
      <w:r w:rsidRPr="00E07AE7">
        <w:rPr>
          <w:rFonts w:cs="Arial"/>
          <w:sz w:val="24"/>
          <w:szCs w:val="24"/>
        </w:rPr>
        <w:t>East Hagbourne Parish Council</w:t>
      </w:r>
      <w:r w:rsidR="00B7304B">
        <w:rPr>
          <w:rFonts w:cs="Arial"/>
          <w:sz w:val="24"/>
          <w:szCs w:val="24"/>
        </w:rPr>
        <w:t xml:space="preserve"> </w:t>
      </w:r>
      <w:r w:rsidR="00D05E84">
        <w:rPr>
          <w:rFonts w:cs="Arial"/>
          <w:sz w:val="24"/>
          <w:szCs w:val="24"/>
        </w:rPr>
        <w:t xml:space="preserve">is not obliged to produce additional indicators </w:t>
      </w:r>
      <w:r w:rsidR="00B7304B">
        <w:rPr>
          <w:rFonts w:cs="Arial"/>
          <w:sz w:val="24"/>
          <w:szCs w:val="24"/>
        </w:rPr>
        <w:t xml:space="preserve">for monitoring at the local level </w:t>
      </w:r>
      <w:r w:rsidR="00D05E84">
        <w:rPr>
          <w:rFonts w:cs="Arial"/>
          <w:sz w:val="24"/>
          <w:szCs w:val="24"/>
        </w:rPr>
        <w:t>but may do so if it wishes</w:t>
      </w:r>
      <w:r w:rsidR="001B0B9C">
        <w:rPr>
          <w:rFonts w:cs="Arial"/>
          <w:sz w:val="24"/>
          <w:szCs w:val="24"/>
        </w:rPr>
        <w:t xml:space="preserve">. </w:t>
      </w:r>
      <w:r w:rsidR="007721F2">
        <w:rPr>
          <w:rFonts w:cs="Arial"/>
          <w:sz w:val="24"/>
          <w:szCs w:val="24"/>
        </w:rPr>
        <w:t xml:space="preserve"> </w:t>
      </w:r>
      <w:r w:rsidR="001B0B9C">
        <w:rPr>
          <w:rFonts w:cs="Arial"/>
          <w:sz w:val="24"/>
          <w:szCs w:val="24"/>
        </w:rPr>
        <w:t xml:space="preserve">The </w:t>
      </w:r>
      <w:r w:rsidR="00F429F5">
        <w:rPr>
          <w:rFonts w:cs="Arial"/>
          <w:sz w:val="24"/>
          <w:szCs w:val="24"/>
        </w:rPr>
        <w:t xml:space="preserve">Qualifying Body </w:t>
      </w:r>
      <w:r w:rsidR="001B0B9C">
        <w:rPr>
          <w:rFonts w:cs="Arial"/>
          <w:sz w:val="24"/>
          <w:szCs w:val="24"/>
        </w:rPr>
        <w:t xml:space="preserve">would be responsible for monitoring any additional indicators.  </w:t>
      </w:r>
      <w:r w:rsidR="00434F90">
        <w:rPr>
          <w:rFonts w:cs="Arial"/>
          <w:sz w:val="24"/>
          <w:szCs w:val="24"/>
        </w:rPr>
        <w:t>I</w:t>
      </w:r>
      <w:r w:rsidR="00B7304B">
        <w:rPr>
          <w:rFonts w:cs="Arial"/>
          <w:sz w:val="24"/>
          <w:szCs w:val="24"/>
        </w:rPr>
        <w:t xml:space="preserve">n this instance </w:t>
      </w:r>
      <w:r w:rsidR="00434F90">
        <w:rPr>
          <w:rFonts w:cs="Arial"/>
          <w:sz w:val="24"/>
          <w:szCs w:val="24"/>
        </w:rPr>
        <w:t xml:space="preserve">the </w:t>
      </w:r>
      <w:r w:rsidRPr="00E07AE7">
        <w:rPr>
          <w:rFonts w:cs="Arial"/>
          <w:sz w:val="24"/>
          <w:szCs w:val="24"/>
        </w:rPr>
        <w:t>East Hagbourne Parish Council</w:t>
      </w:r>
      <w:r w:rsidR="009D725C">
        <w:rPr>
          <w:rFonts w:cs="Arial"/>
          <w:sz w:val="24"/>
          <w:szCs w:val="24"/>
        </w:rPr>
        <w:t xml:space="preserve"> </w:t>
      </w:r>
      <w:r w:rsidR="00B7304B">
        <w:rPr>
          <w:rFonts w:cs="Arial"/>
          <w:sz w:val="24"/>
          <w:szCs w:val="24"/>
        </w:rPr>
        <w:t xml:space="preserve">has not </w:t>
      </w:r>
      <w:r w:rsidR="00434F90">
        <w:rPr>
          <w:rFonts w:cs="Arial"/>
          <w:sz w:val="24"/>
          <w:szCs w:val="24"/>
        </w:rPr>
        <w:t>elected to do so</w:t>
      </w:r>
      <w:r w:rsidR="00E03F0A">
        <w:rPr>
          <w:rFonts w:cs="Arial"/>
          <w:sz w:val="24"/>
          <w:szCs w:val="24"/>
        </w:rPr>
        <w:t xml:space="preserve">.  </w:t>
      </w:r>
    </w:p>
    <w:p w14:paraId="67F4B09E" w14:textId="77777777" w:rsidR="00E07AE7" w:rsidRDefault="00E07AE7" w:rsidP="00E07AE7">
      <w:pPr>
        <w:rPr>
          <w:rFonts w:ascii="Arial" w:hAnsi="Arial" w:cs="Arial"/>
          <w:color w:val="000000"/>
          <w:sz w:val="24"/>
          <w:szCs w:val="24"/>
        </w:rPr>
        <w:sectPr w:rsidR="00E07AE7" w:rsidSect="00DF0C43">
          <w:footerReference w:type="default" r:id="rId13"/>
          <w:pgSz w:w="11906" w:h="16838" w:code="9"/>
          <w:pgMar w:top="1701" w:right="1134" w:bottom="1247" w:left="1134" w:header="737" w:footer="397" w:gutter="0"/>
          <w:cols w:space="708"/>
          <w:docGrid w:linePitch="360"/>
        </w:sectPr>
      </w:pPr>
    </w:p>
    <w:p w14:paraId="312883D4" w14:textId="77777777" w:rsidR="00E07AE7" w:rsidRDefault="00E07AE7" w:rsidP="00E07AE7">
      <w:pPr>
        <w:pStyle w:val="AFWBody"/>
        <w:rPr>
          <w:rFonts w:cs="Arial"/>
          <w:b/>
          <w:sz w:val="24"/>
          <w:szCs w:val="24"/>
        </w:rPr>
      </w:pPr>
      <w:r>
        <w:rPr>
          <w:rFonts w:cs="Arial"/>
          <w:b/>
          <w:sz w:val="24"/>
          <w:szCs w:val="24"/>
        </w:rPr>
        <w:lastRenderedPageBreak/>
        <w:t xml:space="preserve">APPENDIX A: MONITORING INDICATORS FOR THE LOCAL PLAN </w:t>
      </w:r>
    </w:p>
    <w:p w14:paraId="7A561B1A" w14:textId="77777777" w:rsidR="00E07AE7" w:rsidRDefault="00E07AE7" w:rsidP="00E07AE7">
      <w:pPr>
        <w:pStyle w:val="AFWBody"/>
        <w:rPr>
          <w:rFonts w:cs="Arial"/>
          <w:sz w:val="24"/>
          <w:szCs w:val="24"/>
        </w:rPr>
      </w:pPr>
      <w:r>
        <w:rPr>
          <w:rFonts w:cs="Arial"/>
          <w:noProof/>
          <w:szCs w:val="20"/>
        </w:rPr>
        <w:drawing>
          <wp:inline distT="0" distB="0" distL="0" distR="0" wp14:anchorId="32B8206C" wp14:editId="5CC0AC38">
            <wp:extent cx="581025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545AB266" w14:textId="77777777" w:rsidR="00E07AE7" w:rsidRDefault="00E07AE7" w:rsidP="00E07AE7">
      <w:pPr>
        <w:rPr>
          <w:rFonts w:ascii="Arial" w:hAnsi="Arial" w:cs="Arial"/>
          <w:color w:val="000000"/>
          <w:sz w:val="24"/>
          <w:szCs w:val="24"/>
        </w:rPr>
      </w:pPr>
    </w:p>
    <w:p w14:paraId="367AD9EF"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669BCA24" wp14:editId="01A6B334">
            <wp:extent cx="5843905" cy="8253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3905" cy="8253730"/>
                    </a:xfrm>
                    <a:prstGeom prst="rect">
                      <a:avLst/>
                    </a:prstGeom>
                    <a:noFill/>
                    <a:ln>
                      <a:noFill/>
                    </a:ln>
                  </pic:spPr>
                </pic:pic>
              </a:graphicData>
            </a:graphic>
          </wp:inline>
        </w:drawing>
      </w:r>
    </w:p>
    <w:p w14:paraId="2207685D" w14:textId="77777777" w:rsidR="00E07AE7" w:rsidRDefault="00E07AE7" w:rsidP="00E07AE7">
      <w:pPr>
        <w:rPr>
          <w:rFonts w:ascii="Arial" w:hAnsi="Arial" w:cs="Arial"/>
          <w:color w:val="000000"/>
          <w:sz w:val="24"/>
          <w:szCs w:val="24"/>
        </w:rPr>
      </w:pPr>
    </w:p>
    <w:p w14:paraId="113B76A7" w14:textId="77777777" w:rsidR="00E07AE7" w:rsidRDefault="00E07AE7" w:rsidP="00E07AE7">
      <w:pPr>
        <w:rPr>
          <w:rFonts w:ascii="Arial" w:hAnsi="Arial" w:cs="Arial"/>
          <w:color w:val="000000"/>
          <w:sz w:val="24"/>
          <w:szCs w:val="24"/>
        </w:rPr>
      </w:pPr>
    </w:p>
    <w:p w14:paraId="3143A75B" w14:textId="77777777" w:rsidR="00E07AE7" w:rsidRDefault="00E07AE7" w:rsidP="00E07AE7">
      <w:pPr>
        <w:rPr>
          <w:rFonts w:ascii="Arial" w:hAnsi="Arial" w:cs="Arial"/>
          <w:color w:val="000000"/>
          <w:sz w:val="24"/>
          <w:szCs w:val="24"/>
        </w:rPr>
      </w:pPr>
    </w:p>
    <w:p w14:paraId="0B781ADD"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7335897C" wp14:editId="67E851B5">
            <wp:extent cx="5882005" cy="785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2005" cy="7853680"/>
                    </a:xfrm>
                    <a:prstGeom prst="rect">
                      <a:avLst/>
                    </a:prstGeom>
                    <a:noFill/>
                    <a:ln>
                      <a:noFill/>
                    </a:ln>
                  </pic:spPr>
                </pic:pic>
              </a:graphicData>
            </a:graphic>
          </wp:inline>
        </w:drawing>
      </w:r>
    </w:p>
    <w:p w14:paraId="19AB4ABB" w14:textId="77777777" w:rsidR="00E07AE7" w:rsidRDefault="00E07AE7" w:rsidP="00E07AE7">
      <w:pPr>
        <w:rPr>
          <w:rFonts w:ascii="Arial" w:hAnsi="Arial" w:cs="Arial"/>
          <w:color w:val="000000"/>
          <w:sz w:val="24"/>
          <w:szCs w:val="24"/>
        </w:rPr>
      </w:pPr>
    </w:p>
    <w:p w14:paraId="5B5EB57C" w14:textId="77777777" w:rsidR="00E07AE7" w:rsidRDefault="00E07AE7" w:rsidP="00E07AE7">
      <w:pPr>
        <w:rPr>
          <w:rFonts w:ascii="Arial" w:hAnsi="Arial" w:cs="Arial"/>
          <w:color w:val="000000"/>
          <w:sz w:val="24"/>
          <w:szCs w:val="24"/>
        </w:rPr>
      </w:pPr>
    </w:p>
    <w:p w14:paraId="5B652FCF" w14:textId="77777777" w:rsidR="00E07AE7" w:rsidRDefault="00E07AE7" w:rsidP="00E07AE7">
      <w:pPr>
        <w:rPr>
          <w:rFonts w:ascii="Arial" w:hAnsi="Arial" w:cs="Arial"/>
          <w:color w:val="000000"/>
          <w:sz w:val="24"/>
          <w:szCs w:val="24"/>
        </w:rPr>
      </w:pPr>
    </w:p>
    <w:p w14:paraId="53E80944" w14:textId="77777777" w:rsidR="00E07AE7" w:rsidRDefault="00E07AE7" w:rsidP="00E07AE7">
      <w:pPr>
        <w:rPr>
          <w:rFonts w:ascii="Arial" w:hAnsi="Arial" w:cs="Arial"/>
          <w:color w:val="000000"/>
          <w:sz w:val="24"/>
          <w:szCs w:val="24"/>
        </w:rPr>
      </w:pPr>
    </w:p>
    <w:p w14:paraId="07B85338" w14:textId="77777777" w:rsidR="00E07AE7" w:rsidRDefault="00E07AE7" w:rsidP="00E07AE7">
      <w:pPr>
        <w:rPr>
          <w:rFonts w:ascii="Arial" w:hAnsi="Arial" w:cs="Arial"/>
          <w:color w:val="000000"/>
          <w:sz w:val="24"/>
          <w:szCs w:val="24"/>
        </w:rPr>
      </w:pPr>
    </w:p>
    <w:p w14:paraId="455D32D5"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56937547" wp14:editId="72070D8A">
            <wp:extent cx="5943600" cy="849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496300"/>
                    </a:xfrm>
                    <a:prstGeom prst="rect">
                      <a:avLst/>
                    </a:prstGeom>
                    <a:noFill/>
                    <a:ln>
                      <a:noFill/>
                    </a:ln>
                  </pic:spPr>
                </pic:pic>
              </a:graphicData>
            </a:graphic>
          </wp:inline>
        </w:drawing>
      </w:r>
    </w:p>
    <w:p w14:paraId="2373E4A8" w14:textId="77777777" w:rsidR="00E07AE7" w:rsidRDefault="00E07AE7" w:rsidP="00E07AE7">
      <w:pPr>
        <w:rPr>
          <w:rFonts w:ascii="Arial" w:hAnsi="Arial" w:cs="Arial"/>
          <w:color w:val="000000"/>
          <w:sz w:val="24"/>
          <w:szCs w:val="24"/>
        </w:rPr>
      </w:pPr>
    </w:p>
    <w:p w14:paraId="3017BB40"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139F64CA" wp14:editId="64EA6462">
            <wp:extent cx="5943600" cy="8239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239125"/>
                    </a:xfrm>
                    <a:prstGeom prst="rect">
                      <a:avLst/>
                    </a:prstGeom>
                    <a:noFill/>
                    <a:ln>
                      <a:noFill/>
                    </a:ln>
                  </pic:spPr>
                </pic:pic>
              </a:graphicData>
            </a:graphic>
          </wp:inline>
        </w:drawing>
      </w:r>
    </w:p>
    <w:p w14:paraId="19776543" w14:textId="77777777" w:rsidR="00E07AE7" w:rsidRDefault="00E07AE7" w:rsidP="00E07AE7">
      <w:pPr>
        <w:rPr>
          <w:rFonts w:ascii="Arial" w:hAnsi="Arial" w:cs="Arial"/>
          <w:color w:val="000000"/>
          <w:sz w:val="24"/>
          <w:szCs w:val="24"/>
        </w:rPr>
      </w:pPr>
    </w:p>
    <w:p w14:paraId="14747B1B" w14:textId="77777777" w:rsidR="00E07AE7" w:rsidRDefault="00E07AE7" w:rsidP="00E07AE7">
      <w:pPr>
        <w:rPr>
          <w:rFonts w:ascii="Arial" w:hAnsi="Arial" w:cs="Arial"/>
          <w:color w:val="000000"/>
          <w:sz w:val="24"/>
          <w:szCs w:val="24"/>
        </w:rPr>
      </w:pPr>
    </w:p>
    <w:p w14:paraId="53A38463" w14:textId="77777777" w:rsidR="00E07AE7" w:rsidRDefault="00E07AE7" w:rsidP="00E07AE7">
      <w:pPr>
        <w:rPr>
          <w:rFonts w:ascii="Arial" w:hAnsi="Arial" w:cs="Arial"/>
          <w:color w:val="000000"/>
          <w:sz w:val="24"/>
          <w:szCs w:val="24"/>
        </w:rPr>
      </w:pPr>
    </w:p>
    <w:p w14:paraId="431AB20A"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0F19FCFD" wp14:editId="730B3346">
            <wp:extent cx="5929630" cy="773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9630" cy="7734300"/>
                    </a:xfrm>
                    <a:prstGeom prst="rect">
                      <a:avLst/>
                    </a:prstGeom>
                    <a:noFill/>
                    <a:ln>
                      <a:noFill/>
                    </a:ln>
                  </pic:spPr>
                </pic:pic>
              </a:graphicData>
            </a:graphic>
          </wp:inline>
        </w:drawing>
      </w:r>
    </w:p>
    <w:p w14:paraId="722D0EEF" w14:textId="77777777" w:rsidR="00E07AE7" w:rsidRDefault="00E07AE7" w:rsidP="00E07AE7">
      <w:pPr>
        <w:rPr>
          <w:rFonts w:ascii="Arial" w:hAnsi="Arial" w:cs="Arial"/>
          <w:color w:val="000000"/>
          <w:sz w:val="24"/>
          <w:szCs w:val="24"/>
        </w:rPr>
      </w:pPr>
    </w:p>
    <w:p w14:paraId="45A2D6D8" w14:textId="77777777" w:rsidR="00E07AE7" w:rsidRDefault="00E07AE7" w:rsidP="00E07AE7">
      <w:pPr>
        <w:rPr>
          <w:rFonts w:ascii="Arial" w:hAnsi="Arial" w:cs="Arial"/>
          <w:color w:val="000000"/>
          <w:sz w:val="24"/>
          <w:szCs w:val="24"/>
        </w:rPr>
      </w:pPr>
    </w:p>
    <w:p w14:paraId="1318E53A" w14:textId="77777777" w:rsidR="00E07AE7" w:rsidRDefault="00E07AE7" w:rsidP="00E07AE7">
      <w:pPr>
        <w:rPr>
          <w:rFonts w:ascii="Arial" w:hAnsi="Arial" w:cs="Arial"/>
          <w:color w:val="000000"/>
          <w:sz w:val="24"/>
          <w:szCs w:val="24"/>
        </w:rPr>
      </w:pPr>
    </w:p>
    <w:p w14:paraId="3D1EA3DC" w14:textId="77777777" w:rsidR="00E07AE7" w:rsidRDefault="00E07AE7" w:rsidP="00E07AE7">
      <w:pPr>
        <w:rPr>
          <w:rFonts w:ascii="Arial" w:hAnsi="Arial" w:cs="Arial"/>
          <w:color w:val="000000"/>
          <w:sz w:val="24"/>
          <w:szCs w:val="24"/>
        </w:rPr>
      </w:pPr>
    </w:p>
    <w:p w14:paraId="5B80F4D4" w14:textId="77777777" w:rsidR="00E07AE7" w:rsidRDefault="00E07AE7" w:rsidP="00E07AE7">
      <w:pPr>
        <w:rPr>
          <w:rFonts w:ascii="Arial" w:hAnsi="Arial" w:cs="Arial"/>
          <w:color w:val="000000"/>
          <w:sz w:val="24"/>
          <w:szCs w:val="24"/>
        </w:rPr>
      </w:pPr>
    </w:p>
    <w:p w14:paraId="7D3D54E9" w14:textId="77777777" w:rsidR="00E07AE7" w:rsidRDefault="00E07AE7" w:rsidP="00E07AE7">
      <w:pPr>
        <w:rPr>
          <w:rFonts w:ascii="Arial" w:hAnsi="Arial" w:cs="Arial"/>
          <w:color w:val="000000"/>
          <w:sz w:val="24"/>
          <w:szCs w:val="24"/>
        </w:rPr>
      </w:pPr>
    </w:p>
    <w:p w14:paraId="34EF5E10"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0FBAFB92" wp14:editId="1351BC53">
            <wp:extent cx="5972175" cy="846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8467725"/>
                    </a:xfrm>
                    <a:prstGeom prst="rect">
                      <a:avLst/>
                    </a:prstGeom>
                    <a:noFill/>
                    <a:ln>
                      <a:noFill/>
                    </a:ln>
                  </pic:spPr>
                </pic:pic>
              </a:graphicData>
            </a:graphic>
          </wp:inline>
        </w:drawing>
      </w:r>
    </w:p>
    <w:p w14:paraId="5DF8698C" w14:textId="77777777" w:rsidR="00E07AE7" w:rsidRDefault="00E07AE7" w:rsidP="00E07AE7">
      <w:pPr>
        <w:rPr>
          <w:rFonts w:ascii="Arial" w:hAnsi="Arial" w:cs="Arial"/>
          <w:color w:val="000000"/>
          <w:sz w:val="24"/>
          <w:szCs w:val="24"/>
        </w:rPr>
      </w:pPr>
    </w:p>
    <w:p w14:paraId="1DF6029E" w14:textId="77777777" w:rsidR="00E07AE7" w:rsidRDefault="00E07AE7" w:rsidP="00E07AE7">
      <w:pPr>
        <w:rPr>
          <w:rFonts w:ascii="Arial" w:hAnsi="Arial" w:cs="Arial"/>
          <w:color w:val="000000"/>
          <w:sz w:val="24"/>
          <w:szCs w:val="24"/>
        </w:rPr>
      </w:pPr>
    </w:p>
    <w:p w14:paraId="01CF2A50"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41B27D0A" wp14:editId="7773CE02">
            <wp:extent cx="6000750" cy="8510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8510905"/>
                    </a:xfrm>
                    <a:prstGeom prst="rect">
                      <a:avLst/>
                    </a:prstGeom>
                    <a:noFill/>
                    <a:ln>
                      <a:noFill/>
                    </a:ln>
                  </pic:spPr>
                </pic:pic>
              </a:graphicData>
            </a:graphic>
          </wp:inline>
        </w:drawing>
      </w:r>
    </w:p>
    <w:p w14:paraId="0396FA69" w14:textId="77777777" w:rsidR="00E07AE7" w:rsidRDefault="00E07AE7" w:rsidP="00E07AE7">
      <w:pPr>
        <w:rPr>
          <w:rFonts w:ascii="Arial" w:hAnsi="Arial" w:cs="Arial"/>
          <w:color w:val="000000"/>
          <w:sz w:val="24"/>
          <w:szCs w:val="24"/>
        </w:rPr>
      </w:pPr>
    </w:p>
    <w:p w14:paraId="52113C3A"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30B319B7" wp14:editId="61EE460A">
            <wp:extent cx="5962650" cy="8391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8391525"/>
                    </a:xfrm>
                    <a:prstGeom prst="rect">
                      <a:avLst/>
                    </a:prstGeom>
                    <a:noFill/>
                    <a:ln>
                      <a:noFill/>
                    </a:ln>
                  </pic:spPr>
                </pic:pic>
              </a:graphicData>
            </a:graphic>
          </wp:inline>
        </w:drawing>
      </w:r>
    </w:p>
    <w:p w14:paraId="7A4062BC" w14:textId="77777777" w:rsidR="00E07AE7" w:rsidRDefault="00E07AE7" w:rsidP="00E07AE7">
      <w:pPr>
        <w:rPr>
          <w:rFonts w:ascii="Arial" w:hAnsi="Arial" w:cs="Arial"/>
          <w:color w:val="000000"/>
          <w:sz w:val="24"/>
          <w:szCs w:val="24"/>
        </w:rPr>
      </w:pPr>
    </w:p>
    <w:p w14:paraId="1318C9E0" w14:textId="77777777" w:rsidR="00E07AE7" w:rsidRDefault="00E07AE7" w:rsidP="00E07AE7">
      <w:pPr>
        <w:rPr>
          <w:rFonts w:ascii="Arial" w:hAnsi="Arial" w:cs="Arial"/>
          <w:color w:val="000000"/>
          <w:sz w:val="24"/>
          <w:szCs w:val="24"/>
        </w:rPr>
      </w:pPr>
    </w:p>
    <w:p w14:paraId="3905485A"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0D01CF31" wp14:editId="19765150">
            <wp:extent cx="5862955" cy="834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2955" cy="8343900"/>
                    </a:xfrm>
                    <a:prstGeom prst="rect">
                      <a:avLst/>
                    </a:prstGeom>
                    <a:noFill/>
                    <a:ln>
                      <a:noFill/>
                    </a:ln>
                  </pic:spPr>
                </pic:pic>
              </a:graphicData>
            </a:graphic>
          </wp:inline>
        </w:drawing>
      </w:r>
    </w:p>
    <w:p w14:paraId="1AB58475" w14:textId="77777777" w:rsidR="00E07AE7" w:rsidRDefault="00E07AE7" w:rsidP="00E07AE7">
      <w:pPr>
        <w:rPr>
          <w:rFonts w:ascii="Arial" w:hAnsi="Arial" w:cs="Arial"/>
          <w:color w:val="000000"/>
          <w:sz w:val="24"/>
          <w:szCs w:val="24"/>
        </w:rPr>
      </w:pPr>
    </w:p>
    <w:p w14:paraId="40A7353A" w14:textId="77777777" w:rsidR="00E07AE7" w:rsidRDefault="00E07AE7" w:rsidP="00E07AE7">
      <w:pPr>
        <w:rPr>
          <w:rFonts w:ascii="Arial" w:hAnsi="Arial" w:cs="Arial"/>
          <w:color w:val="000000"/>
          <w:sz w:val="24"/>
          <w:szCs w:val="24"/>
        </w:rPr>
      </w:pPr>
    </w:p>
    <w:p w14:paraId="69B1B8CD"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6B1A1A9D" wp14:editId="637BEDD9">
            <wp:extent cx="5945505" cy="882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505" cy="8820150"/>
                    </a:xfrm>
                    <a:prstGeom prst="rect">
                      <a:avLst/>
                    </a:prstGeom>
                    <a:noFill/>
                    <a:ln>
                      <a:noFill/>
                    </a:ln>
                  </pic:spPr>
                </pic:pic>
              </a:graphicData>
            </a:graphic>
          </wp:inline>
        </w:drawing>
      </w:r>
    </w:p>
    <w:p w14:paraId="620B7C4B"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24607E91" wp14:editId="24E44743">
            <wp:extent cx="5920105" cy="8410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105" cy="8410575"/>
                    </a:xfrm>
                    <a:prstGeom prst="rect">
                      <a:avLst/>
                    </a:prstGeom>
                    <a:noFill/>
                    <a:ln>
                      <a:noFill/>
                    </a:ln>
                  </pic:spPr>
                </pic:pic>
              </a:graphicData>
            </a:graphic>
          </wp:inline>
        </w:drawing>
      </w:r>
    </w:p>
    <w:p w14:paraId="6DAC31B2" w14:textId="77777777" w:rsidR="00E07AE7" w:rsidRDefault="00E07AE7" w:rsidP="00E07AE7">
      <w:pPr>
        <w:rPr>
          <w:rFonts w:ascii="Arial" w:hAnsi="Arial" w:cs="Arial"/>
          <w:color w:val="000000"/>
          <w:sz w:val="24"/>
          <w:szCs w:val="24"/>
        </w:rPr>
      </w:pPr>
    </w:p>
    <w:p w14:paraId="01FB5B73" w14:textId="77777777" w:rsidR="00E07AE7" w:rsidRDefault="00E07AE7" w:rsidP="00E07AE7">
      <w:pPr>
        <w:rPr>
          <w:rFonts w:ascii="Arial" w:hAnsi="Arial" w:cs="Arial"/>
          <w:color w:val="000000"/>
          <w:sz w:val="24"/>
          <w:szCs w:val="24"/>
        </w:rPr>
      </w:pPr>
    </w:p>
    <w:p w14:paraId="22EFFFE7"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648E8CDC" wp14:editId="4BBEC49D">
            <wp:extent cx="5905500" cy="7910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7910830"/>
                    </a:xfrm>
                    <a:prstGeom prst="rect">
                      <a:avLst/>
                    </a:prstGeom>
                    <a:noFill/>
                    <a:ln>
                      <a:noFill/>
                    </a:ln>
                  </pic:spPr>
                </pic:pic>
              </a:graphicData>
            </a:graphic>
          </wp:inline>
        </w:drawing>
      </w:r>
    </w:p>
    <w:p w14:paraId="6C391271" w14:textId="77777777" w:rsidR="00E07AE7" w:rsidRDefault="00E07AE7" w:rsidP="00E07AE7">
      <w:pPr>
        <w:rPr>
          <w:rFonts w:ascii="Arial" w:hAnsi="Arial" w:cs="Arial"/>
          <w:color w:val="000000"/>
          <w:sz w:val="24"/>
          <w:szCs w:val="24"/>
        </w:rPr>
      </w:pPr>
    </w:p>
    <w:p w14:paraId="64855B81" w14:textId="77777777" w:rsidR="00E07AE7" w:rsidRDefault="00E07AE7" w:rsidP="00E07AE7">
      <w:pPr>
        <w:rPr>
          <w:rFonts w:ascii="Arial" w:hAnsi="Arial" w:cs="Arial"/>
          <w:color w:val="000000"/>
          <w:sz w:val="24"/>
          <w:szCs w:val="24"/>
        </w:rPr>
      </w:pPr>
    </w:p>
    <w:p w14:paraId="6B1457C6" w14:textId="77777777" w:rsidR="00E07AE7" w:rsidRDefault="00E07AE7" w:rsidP="00E07AE7">
      <w:pPr>
        <w:rPr>
          <w:rFonts w:ascii="Arial" w:hAnsi="Arial" w:cs="Arial"/>
          <w:color w:val="000000"/>
          <w:sz w:val="24"/>
          <w:szCs w:val="24"/>
        </w:rPr>
      </w:pPr>
    </w:p>
    <w:p w14:paraId="06784710" w14:textId="77777777" w:rsidR="00E07AE7" w:rsidRDefault="00E07AE7" w:rsidP="00E07AE7">
      <w:pPr>
        <w:rPr>
          <w:rFonts w:ascii="Arial" w:hAnsi="Arial" w:cs="Arial"/>
          <w:color w:val="000000"/>
          <w:sz w:val="24"/>
          <w:szCs w:val="24"/>
        </w:rPr>
      </w:pPr>
    </w:p>
    <w:p w14:paraId="4F4AD54D" w14:textId="77777777" w:rsidR="00E07AE7" w:rsidRDefault="00E07AE7" w:rsidP="00E07AE7">
      <w:pPr>
        <w:rPr>
          <w:rFonts w:ascii="Arial" w:hAnsi="Arial" w:cs="Arial"/>
          <w:color w:val="000000"/>
          <w:sz w:val="24"/>
          <w:szCs w:val="24"/>
        </w:rPr>
      </w:pPr>
    </w:p>
    <w:p w14:paraId="04E5D66C"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70899C11" wp14:editId="6A351AA1">
            <wp:extent cx="5910580" cy="8444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0580" cy="8444230"/>
                    </a:xfrm>
                    <a:prstGeom prst="rect">
                      <a:avLst/>
                    </a:prstGeom>
                    <a:noFill/>
                    <a:ln>
                      <a:noFill/>
                    </a:ln>
                  </pic:spPr>
                </pic:pic>
              </a:graphicData>
            </a:graphic>
          </wp:inline>
        </w:drawing>
      </w:r>
    </w:p>
    <w:p w14:paraId="005FB2D9" w14:textId="77777777" w:rsidR="00E07AE7" w:rsidRDefault="00E07AE7" w:rsidP="00E07AE7">
      <w:pPr>
        <w:rPr>
          <w:rFonts w:ascii="Arial" w:hAnsi="Arial" w:cs="Arial"/>
          <w:color w:val="000000"/>
          <w:sz w:val="24"/>
          <w:szCs w:val="24"/>
        </w:rPr>
      </w:pPr>
    </w:p>
    <w:p w14:paraId="725CD87D" w14:textId="77777777" w:rsidR="00E07AE7" w:rsidRDefault="00E07AE7" w:rsidP="00E07AE7">
      <w:pPr>
        <w:rPr>
          <w:rFonts w:ascii="Arial" w:hAnsi="Arial" w:cs="Arial"/>
          <w:color w:val="000000"/>
          <w:sz w:val="24"/>
          <w:szCs w:val="24"/>
        </w:rPr>
      </w:pPr>
    </w:p>
    <w:p w14:paraId="6EEA3350" w14:textId="77777777" w:rsidR="00E07AE7" w:rsidRDefault="00E07AE7" w:rsidP="00E07AE7">
      <w:pPr>
        <w:rPr>
          <w:rFonts w:ascii="Arial" w:hAnsi="Arial" w:cs="Arial"/>
          <w:color w:val="000000"/>
          <w:sz w:val="24"/>
          <w:szCs w:val="24"/>
        </w:rPr>
      </w:pPr>
      <w:r>
        <w:rPr>
          <w:rFonts w:ascii="Calibri" w:hAnsi="Calibri" w:cs="Calibri"/>
          <w:noProof/>
        </w:rPr>
        <w:lastRenderedPageBreak/>
        <w:drawing>
          <wp:inline distT="0" distB="0" distL="0" distR="0" wp14:anchorId="124B8668" wp14:editId="766FF72E">
            <wp:extent cx="5991225" cy="719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7191375"/>
                    </a:xfrm>
                    <a:prstGeom prst="rect">
                      <a:avLst/>
                    </a:prstGeom>
                    <a:noFill/>
                    <a:ln>
                      <a:noFill/>
                    </a:ln>
                  </pic:spPr>
                </pic:pic>
              </a:graphicData>
            </a:graphic>
          </wp:inline>
        </w:drawing>
      </w:r>
    </w:p>
    <w:p w14:paraId="29BF6EB0" w14:textId="77777777" w:rsidR="00E07AE7" w:rsidRDefault="00E07AE7" w:rsidP="00E07AE7">
      <w:pPr>
        <w:rPr>
          <w:rFonts w:ascii="Arial" w:hAnsi="Arial" w:cs="Arial"/>
          <w:color w:val="000000"/>
          <w:sz w:val="24"/>
          <w:szCs w:val="24"/>
        </w:rPr>
      </w:pPr>
    </w:p>
    <w:p w14:paraId="30061BB2" w14:textId="77777777" w:rsidR="00E07AE7" w:rsidRDefault="00E07AE7" w:rsidP="00E07AE7">
      <w:pPr>
        <w:rPr>
          <w:rFonts w:ascii="Arial" w:hAnsi="Arial" w:cs="Arial"/>
          <w:color w:val="000000"/>
          <w:sz w:val="24"/>
          <w:szCs w:val="24"/>
        </w:rPr>
      </w:pPr>
    </w:p>
    <w:p w14:paraId="3212EA36" w14:textId="7561599F" w:rsidR="00576A40" w:rsidRDefault="00576A40" w:rsidP="00BD0066">
      <w:pPr>
        <w:pStyle w:val="AFWBody"/>
        <w:rPr>
          <w:rFonts w:cs="Arial"/>
          <w:sz w:val="24"/>
          <w:szCs w:val="24"/>
        </w:rPr>
      </w:pPr>
    </w:p>
    <w:sectPr w:rsidR="00576A40" w:rsidSect="00DF0C43">
      <w:footerReference w:type="default" r:id="rId29"/>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46C0F" w14:textId="77777777" w:rsidR="000C007A" w:rsidRDefault="000C007A" w:rsidP="00F83584">
      <w:r>
        <w:separator/>
      </w:r>
    </w:p>
  </w:endnote>
  <w:endnote w:type="continuationSeparator" w:id="0">
    <w:p w14:paraId="5A985BD9" w14:textId="77777777" w:rsidR="000C007A" w:rsidRDefault="000C007A"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90C7" w14:textId="77777777" w:rsidR="00E07AE7" w:rsidRPr="003670B0" w:rsidRDefault="00E07AE7" w:rsidP="00340121">
    <w:pPr>
      <w:pStyle w:val="Footer"/>
    </w:pPr>
    <w:r>
      <w:rPr>
        <w:szCs w:val="26"/>
      </w:rPr>
      <w:t xml:space="preserve">  </w:t>
    </w:r>
  </w:p>
  <w:p w14:paraId="5340FFE1" w14:textId="77777777" w:rsidR="00E07AE7" w:rsidRPr="00340121" w:rsidRDefault="00E07AE7" w:rsidP="00340121">
    <w:pPr>
      <w:pStyle w:val="Footer"/>
    </w:pPr>
    <w:r w:rsidRPr="0034012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EC11" w14:textId="77777777" w:rsidR="008F43FC" w:rsidRPr="003670B0" w:rsidRDefault="008F43FC" w:rsidP="00340121">
    <w:pPr>
      <w:pStyle w:val="Footer"/>
    </w:pPr>
    <w:r>
      <w:rPr>
        <w:szCs w:val="26"/>
      </w:rPr>
      <w:t xml:space="preserve">  </w:t>
    </w:r>
  </w:p>
  <w:p w14:paraId="76A6E12B" w14:textId="665018E8" w:rsidR="008F43FC" w:rsidRPr="00340121" w:rsidRDefault="008F43FC" w:rsidP="00340121">
    <w:pPr>
      <w:pStyle w:val="Footer"/>
    </w:pPr>
    <w:r w:rsidRPr="0034012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3B5B" w14:textId="77777777" w:rsidR="000C007A" w:rsidRDefault="000C007A" w:rsidP="00F83584">
      <w:r>
        <w:separator/>
      </w:r>
    </w:p>
  </w:footnote>
  <w:footnote w:type="continuationSeparator" w:id="0">
    <w:p w14:paraId="5836154D" w14:textId="77777777" w:rsidR="000C007A" w:rsidRDefault="000C007A" w:rsidP="00F83584">
      <w:r>
        <w:continuationSeparator/>
      </w:r>
    </w:p>
  </w:footnote>
  <w:footnote w:id="1">
    <w:p w14:paraId="3436707E" w14:textId="77777777" w:rsidR="00274EF7" w:rsidRPr="00726B80" w:rsidRDefault="00274EF7" w:rsidP="00274EF7">
      <w:pPr>
        <w:pStyle w:val="FootnoteText"/>
        <w:rPr>
          <w:sz w:val="16"/>
          <w:szCs w:val="16"/>
        </w:rPr>
      </w:pPr>
      <w:r w:rsidRPr="00726B80">
        <w:rPr>
          <w:rStyle w:val="FootnoteReference"/>
          <w:sz w:val="16"/>
          <w:szCs w:val="16"/>
        </w:rPr>
        <w:footnoteRef/>
      </w:r>
      <w:r w:rsidRPr="00726B80">
        <w:rPr>
          <w:sz w:val="16"/>
          <w:szCs w:val="16"/>
        </w:rPr>
        <w:t xml:space="preserve"> ODPM (2005) </w:t>
      </w:r>
      <w:r w:rsidRPr="00726B80">
        <w:rPr>
          <w:i/>
          <w:sz w:val="16"/>
          <w:szCs w:val="16"/>
        </w:rPr>
        <w:t>A Practical Guide to the Strategic Environmental Assessment Directive</w:t>
      </w:r>
      <w:r w:rsidRPr="00726B80">
        <w:rPr>
          <w:sz w:val="16"/>
          <w:szCs w:val="16"/>
        </w:rPr>
        <w:t>. Published September 2005.</w:t>
      </w:r>
    </w:p>
  </w:footnote>
  <w:footnote w:id="2">
    <w:p w14:paraId="27865476" w14:textId="77777777" w:rsidR="00225552" w:rsidRPr="00FA24CB" w:rsidRDefault="00225552" w:rsidP="00225552">
      <w:pPr>
        <w:pStyle w:val="FootnoteText"/>
        <w:rPr>
          <w:sz w:val="16"/>
          <w:szCs w:val="16"/>
        </w:rPr>
      </w:pPr>
      <w:r w:rsidRPr="00FA24CB">
        <w:rPr>
          <w:rStyle w:val="FootnoteReference"/>
        </w:rPr>
        <w:footnoteRef/>
      </w:r>
      <w:r w:rsidRPr="00FA24CB">
        <w:rPr>
          <w:sz w:val="16"/>
          <w:szCs w:val="16"/>
        </w:rPr>
        <w:t xml:space="preserve"> EC (</w:t>
      </w:r>
      <w:r>
        <w:rPr>
          <w:sz w:val="16"/>
          <w:szCs w:val="16"/>
        </w:rPr>
        <w:t>2001</w:t>
      </w:r>
      <w:r w:rsidRPr="00FA24CB">
        <w:rPr>
          <w:sz w:val="16"/>
          <w:szCs w:val="16"/>
        </w:rPr>
        <w:t xml:space="preserve">) </w:t>
      </w:r>
      <w:r w:rsidRPr="00FA24CB">
        <w:rPr>
          <w:i/>
          <w:sz w:val="16"/>
          <w:szCs w:val="16"/>
        </w:rPr>
        <w:t xml:space="preserve">Implementation of Directive 2001/42 on the Assessment of the Effects of Certain Plans and Programmes on the Environment. </w:t>
      </w:r>
      <w:r w:rsidRPr="00FA24CB">
        <w:rPr>
          <w:sz w:val="16"/>
          <w:szCs w:val="16"/>
        </w:rPr>
        <w:t xml:space="preserve">Available from </w:t>
      </w:r>
      <w:hyperlink r:id="rId1" w:history="1">
        <w:r w:rsidRPr="00FA24CB">
          <w:rPr>
            <w:rStyle w:val="Hyperlink"/>
            <w:sz w:val="16"/>
            <w:szCs w:val="16"/>
          </w:rPr>
          <w:t>http://ec.europa.eu/environment/archives/eia/pdf/030923_sea_guidance.pdf</w:t>
        </w:r>
      </w:hyperlink>
      <w:r w:rsidRPr="00FA24CB">
        <w:rPr>
          <w:sz w:val="16"/>
          <w:szCs w:val="16"/>
        </w:rPr>
        <w:t xml:space="preserve"> [Accessed June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5E8B"/>
    <w:multiLevelType w:val="hybridMultilevel"/>
    <w:tmpl w:val="6A9092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93735D6"/>
    <w:multiLevelType w:val="hybridMultilevel"/>
    <w:tmpl w:val="DB84E84C"/>
    <w:lvl w:ilvl="0" w:tplc="4CE09778">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4C308D"/>
    <w:multiLevelType w:val="hybridMultilevel"/>
    <w:tmpl w:val="AE30E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C34703"/>
    <w:multiLevelType w:val="hybridMultilevel"/>
    <w:tmpl w:val="D64A5722"/>
    <w:lvl w:ilvl="0" w:tplc="ED1CC96C">
      <w:start w:val="1"/>
      <w:numFmt w:val="bullet"/>
      <w:pStyle w:val="AFWBulletsBW"/>
      <w:lvlText w:val=""/>
      <w:lvlJc w:val="left"/>
      <w:pPr>
        <w:ind w:left="1211" w:hanging="360"/>
      </w:pPr>
      <w:rPr>
        <w:rFonts w:ascii="Wingdings 3" w:hAnsi="Wingdings 3"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32ED743F"/>
    <w:multiLevelType w:val="hybridMultilevel"/>
    <w:tmpl w:val="D3B20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AB3D6A"/>
    <w:multiLevelType w:val="hybridMultilevel"/>
    <w:tmpl w:val="A7AA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E7CBE"/>
    <w:multiLevelType w:val="hybridMultilevel"/>
    <w:tmpl w:val="8612C8A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433456F1"/>
    <w:multiLevelType w:val="hybridMultilevel"/>
    <w:tmpl w:val="7812DE70"/>
    <w:lvl w:ilvl="0" w:tplc="E5A21336">
      <w:start w:val="1"/>
      <w:numFmt w:val="upperLetter"/>
      <w:pStyle w:val="AFWAppendixTitleBW"/>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44F503D"/>
    <w:multiLevelType w:val="hybridMultilevel"/>
    <w:tmpl w:val="EAFC5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2D449C"/>
    <w:multiLevelType w:val="hybridMultilevel"/>
    <w:tmpl w:val="97D67B8E"/>
    <w:lvl w:ilvl="0" w:tplc="8CE6D1DC">
      <w:start w:val="1"/>
      <w:numFmt w:val="decimal"/>
      <w:lvlText w:val="%1"/>
      <w:lvlJc w:val="left"/>
      <w:pPr>
        <w:ind w:left="720" w:hanging="360"/>
      </w:pPr>
      <w:rPr>
        <w:rFonts w:ascii="Arial" w:eastAsia="Times New Roman" w:hAnsi="Arial"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109E9"/>
    <w:multiLevelType w:val="hybridMultilevel"/>
    <w:tmpl w:val="C6B23894"/>
    <w:lvl w:ilvl="0" w:tplc="A3C07A84">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AC485C"/>
    <w:multiLevelType w:val="multilevel"/>
    <w:tmpl w:val="DCFA223A"/>
    <w:lvl w:ilvl="0">
      <w:start w:val="2"/>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4"/>
        <w:szCs w:val="24"/>
      </w:rPr>
    </w:lvl>
    <w:lvl w:ilvl="2">
      <w:start w:val="1"/>
      <w:numFmt w:val="decimal"/>
      <w:pStyle w:val="AFW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3" w15:restartNumberingAfterBreak="0">
    <w:nsid w:val="50BC7BD0"/>
    <w:multiLevelType w:val="hybridMultilevel"/>
    <w:tmpl w:val="87622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196410"/>
    <w:multiLevelType w:val="hybridMultilevel"/>
    <w:tmpl w:val="75E2C1D2"/>
    <w:lvl w:ilvl="0" w:tplc="A630F6C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BA47CF"/>
    <w:multiLevelType w:val="hybridMultilevel"/>
    <w:tmpl w:val="4C329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271EF2"/>
    <w:multiLevelType w:val="hybridMultilevel"/>
    <w:tmpl w:val="ACA6F0BA"/>
    <w:lvl w:ilvl="0" w:tplc="08090001">
      <w:start w:val="1"/>
      <w:numFmt w:val="bullet"/>
      <w:lvlText w:val=""/>
      <w:lvlJc w:val="left"/>
      <w:pPr>
        <w:ind w:left="1211" w:hanging="360"/>
      </w:pPr>
      <w:rPr>
        <w:rFonts w:ascii="Symbol" w:hAnsi="Symbol"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E36B82"/>
    <w:multiLevelType w:val="multilevel"/>
    <w:tmpl w:val="5E8A69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6D259C"/>
    <w:multiLevelType w:val="hybridMultilevel"/>
    <w:tmpl w:val="358232BC"/>
    <w:lvl w:ilvl="0" w:tplc="08090001">
      <w:start w:val="1"/>
      <w:numFmt w:val="bullet"/>
      <w:lvlText w:val=""/>
      <w:lvlJc w:val="left"/>
      <w:pPr>
        <w:ind w:left="1211" w:hanging="360"/>
      </w:pPr>
      <w:rPr>
        <w:rFonts w:ascii="Symbol" w:hAnsi="Symbol"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EC54A4"/>
    <w:multiLevelType w:val="hybridMultilevel"/>
    <w:tmpl w:val="A6241DF0"/>
    <w:lvl w:ilvl="0" w:tplc="D8F6CE08">
      <w:start w:val="1"/>
      <w:numFmt w:val="bullet"/>
      <w:pStyle w:val="AFWBullets2BW"/>
      <w:lvlText w:val=""/>
      <w:lvlJc w:val="left"/>
      <w:pPr>
        <w:ind w:left="1494" w:hanging="360"/>
      </w:pPr>
      <w:rPr>
        <w:rFonts w:ascii="Wingdings 3" w:hAnsi="Wingdings 3" w:hint="default"/>
        <w:color w:val="auto"/>
        <w:sz w:val="2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72C36A54"/>
    <w:multiLevelType w:val="hybridMultilevel"/>
    <w:tmpl w:val="EE5CEA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ABE1013"/>
    <w:multiLevelType w:val="hybridMultilevel"/>
    <w:tmpl w:val="9FBEB91A"/>
    <w:lvl w:ilvl="0" w:tplc="3F504AEE">
      <w:start w:val="1"/>
      <w:numFmt w:val="lowerRoman"/>
      <w:pStyle w:val="AFW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7F1F29FD"/>
    <w:multiLevelType w:val="hybridMultilevel"/>
    <w:tmpl w:val="0014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678197">
    <w:abstractNumId w:val="4"/>
  </w:num>
  <w:num w:numId="2" w16cid:durableId="1182284449">
    <w:abstractNumId w:val="3"/>
  </w:num>
  <w:num w:numId="3" w16cid:durableId="70545853">
    <w:abstractNumId w:val="8"/>
  </w:num>
  <w:num w:numId="4" w16cid:durableId="767963460">
    <w:abstractNumId w:val="3"/>
  </w:num>
  <w:num w:numId="5" w16cid:durableId="1846477135">
    <w:abstractNumId w:val="19"/>
  </w:num>
  <w:num w:numId="6" w16cid:durableId="1567305268">
    <w:abstractNumId w:val="21"/>
  </w:num>
  <w:num w:numId="7" w16cid:durableId="462889054">
    <w:abstractNumId w:val="12"/>
  </w:num>
  <w:num w:numId="8" w16cid:durableId="1051349484">
    <w:abstractNumId w:val="14"/>
  </w:num>
  <w:num w:numId="9" w16cid:durableId="1325160431">
    <w:abstractNumId w:val="11"/>
  </w:num>
  <w:num w:numId="10" w16cid:durableId="1543439222">
    <w:abstractNumId w:val="16"/>
  </w:num>
  <w:num w:numId="11" w16cid:durableId="1988318418">
    <w:abstractNumId w:val="18"/>
  </w:num>
  <w:num w:numId="12" w16cid:durableId="454375761">
    <w:abstractNumId w:val="15"/>
  </w:num>
  <w:num w:numId="13" w16cid:durableId="246548541">
    <w:abstractNumId w:val="0"/>
  </w:num>
  <w:num w:numId="14" w16cid:durableId="398944939">
    <w:abstractNumId w:val="20"/>
  </w:num>
  <w:num w:numId="15" w16cid:durableId="685013675">
    <w:abstractNumId w:val="7"/>
  </w:num>
  <w:num w:numId="16" w16cid:durableId="626155932">
    <w:abstractNumId w:val="5"/>
  </w:num>
  <w:num w:numId="17" w16cid:durableId="124587641">
    <w:abstractNumId w:val="9"/>
  </w:num>
  <w:num w:numId="18" w16cid:durableId="287703501">
    <w:abstractNumId w:val="1"/>
  </w:num>
  <w:num w:numId="19" w16cid:durableId="1638756632">
    <w:abstractNumId w:val="17"/>
  </w:num>
  <w:num w:numId="20" w16cid:durableId="410084920">
    <w:abstractNumId w:val="10"/>
  </w:num>
  <w:num w:numId="21" w16cid:durableId="1753888114">
    <w:abstractNumId w:val="3"/>
  </w:num>
  <w:num w:numId="22" w16cid:durableId="738360983">
    <w:abstractNumId w:val="13"/>
  </w:num>
  <w:num w:numId="23" w16cid:durableId="457721724">
    <w:abstractNumId w:val="22"/>
  </w:num>
  <w:num w:numId="24" w16cid:durableId="2048217733">
    <w:abstractNumId w:val="6"/>
  </w:num>
  <w:num w:numId="25" w16cid:durableId="184366656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0241">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B6C"/>
    <w:rsid w:val="00006E51"/>
    <w:rsid w:val="00006FB9"/>
    <w:rsid w:val="00010373"/>
    <w:rsid w:val="00015278"/>
    <w:rsid w:val="00023595"/>
    <w:rsid w:val="0002634C"/>
    <w:rsid w:val="00030689"/>
    <w:rsid w:val="000306CD"/>
    <w:rsid w:val="000372EA"/>
    <w:rsid w:val="0003744D"/>
    <w:rsid w:val="000425EA"/>
    <w:rsid w:val="0004481F"/>
    <w:rsid w:val="000469E2"/>
    <w:rsid w:val="00054535"/>
    <w:rsid w:val="000602D9"/>
    <w:rsid w:val="000620BC"/>
    <w:rsid w:val="000629C6"/>
    <w:rsid w:val="000653D1"/>
    <w:rsid w:val="00077F26"/>
    <w:rsid w:val="00081889"/>
    <w:rsid w:val="00082254"/>
    <w:rsid w:val="00090A44"/>
    <w:rsid w:val="000A06DF"/>
    <w:rsid w:val="000A47E8"/>
    <w:rsid w:val="000B1639"/>
    <w:rsid w:val="000B34F0"/>
    <w:rsid w:val="000B36DF"/>
    <w:rsid w:val="000C007A"/>
    <w:rsid w:val="000C12C8"/>
    <w:rsid w:val="000D03F5"/>
    <w:rsid w:val="000D4C35"/>
    <w:rsid w:val="000E09D7"/>
    <w:rsid w:val="000E6CAF"/>
    <w:rsid w:val="000F0BAB"/>
    <w:rsid w:val="00100D71"/>
    <w:rsid w:val="00101A2C"/>
    <w:rsid w:val="00102310"/>
    <w:rsid w:val="001033EB"/>
    <w:rsid w:val="00103853"/>
    <w:rsid w:val="00107CF2"/>
    <w:rsid w:val="00120017"/>
    <w:rsid w:val="0012033A"/>
    <w:rsid w:val="00121BDC"/>
    <w:rsid w:val="00122AB6"/>
    <w:rsid w:val="001259F4"/>
    <w:rsid w:val="00126436"/>
    <w:rsid w:val="00126A4D"/>
    <w:rsid w:val="001420A3"/>
    <w:rsid w:val="00142879"/>
    <w:rsid w:val="001447D0"/>
    <w:rsid w:val="00146B6C"/>
    <w:rsid w:val="00147DEF"/>
    <w:rsid w:val="00151663"/>
    <w:rsid w:val="00156AA5"/>
    <w:rsid w:val="0016079A"/>
    <w:rsid w:val="00165A50"/>
    <w:rsid w:val="00171393"/>
    <w:rsid w:val="00172B5A"/>
    <w:rsid w:val="001736C1"/>
    <w:rsid w:val="00183E7C"/>
    <w:rsid w:val="00185F16"/>
    <w:rsid w:val="0019574D"/>
    <w:rsid w:val="001A472A"/>
    <w:rsid w:val="001A4AE4"/>
    <w:rsid w:val="001A602D"/>
    <w:rsid w:val="001A74DA"/>
    <w:rsid w:val="001B0B9C"/>
    <w:rsid w:val="001B0E3F"/>
    <w:rsid w:val="001B32D7"/>
    <w:rsid w:val="001B6238"/>
    <w:rsid w:val="001C2F16"/>
    <w:rsid w:val="001C5D5B"/>
    <w:rsid w:val="001C7221"/>
    <w:rsid w:val="001D517A"/>
    <w:rsid w:val="001D61BA"/>
    <w:rsid w:val="001D6BAB"/>
    <w:rsid w:val="001D7BCB"/>
    <w:rsid w:val="001E5A58"/>
    <w:rsid w:val="001E6B77"/>
    <w:rsid w:val="001E7ED3"/>
    <w:rsid w:val="001F0A91"/>
    <w:rsid w:val="001F2A7E"/>
    <w:rsid w:val="001F6E99"/>
    <w:rsid w:val="002045FB"/>
    <w:rsid w:val="002049F3"/>
    <w:rsid w:val="00216C7E"/>
    <w:rsid w:val="00225552"/>
    <w:rsid w:val="002275E0"/>
    <w:rsid w:val="00227C8C"/>
    <w:rsid w:val="00230B07"/>
    <w:rsid w:val="00231945"/>
    <w:rsid w:val="002400B0"/>
    <w:rsid w:val="00242D5E"/>
    <w:rsid w:val="00243E50"/>
    <w:rsid w:val="002451E8"/>
    <w:rsid w:val="00246FA5"/>
    <w:rsid w:val="00250101"/>
    <w:rsid w:val="00251DCA"/>
    <w:rsid w:val="0025300D"/>
    <w:rsid w:val="0025647B"/>
    <w:rsid w:val="00266160"/>
    <w:rsid w:val="00271260"/>
    <w:rsid w:val="00271DA6"/>
    <w:rsid w:val="00274EF7"/>
    <w:rsid w:val="00275E68"/>
    <w:rsid w:val="002801CD"/>
    <w:rsid w:val="00280D3D"/>
    <w:rsid w:val="00281E4F"/>
    <w:rsid w:val="0028354D"/>
    <w:rsid w:val="0028441F"/>
    <w:rsid w:val="0028653D"/>
    <w:rsid w:val="00287262"/>
    <w:rsid w:val="002876CA"/>
    <w:rsid w:val="00292294"/>
    <w:rsid w:val="002938E5"/>
    <w:rsid w:val="00296C32"/>
    <w:rsid w:val="0029712A"/>
    <w:rsid w:val="0029796D"/>
    <w:rsid w:val="002A4225"/>
    <w:rsid w:val="002A5BCB"/>
    <w:rsid w:val="002B6B77"/>
    <w:rsid w:val="002C1DB8"/>
    <w:rsid w:val="002C3995"/>
    <w:rsid w:val="002C4B69"/>
    <w:rsid w:val="002C643D"/>
    <w:rsid w:val="002D03CB"/>
    <w:rsid w:val="002F4083"/>
    <w:rsid w:val="002F450E"/>
    <w:rsid w:val="002F559E"/>
    <w:rsid w:val="00306B8E"/>
    <w:rsid w:val="003105DE"/>
    <w:rsid w:val="0031176F"/>
    <w:rsid w:val="003274F7"/>
    <w:rsid w:val="00340121"/>
    <w:rsid w:val="0034023F"/>
    <w:rsid w:val="0034221B"/>
    <w:rsid w:val="003430E4"/>
    <w:rsid w:val="00344151"/>
    <w:rsid w:val="00347E25"/>
    <w:rsid w:val="0035771F"/>
    <w:rsid w:val="0036043F"/>
    <w:rsid w:val="003670B0"/>
    <w:rsid w:val="00385687"/>
    <w:rsid w:val="00385E8C"/>
    <w:rsid w:val="00386BE0"/>
    <w:rsid w:val="00390847"/>
    <w:rsid w:val="00390A2F"/>
    <w:rsid w:val="00390CA8"/>
    <w:rsid w:val="00390D88"/>
    <w:rsid w:val="0039454D"/>
    <w:rsid w:val="003949BD"/>
    <w:rsid w:val="00395B3E"/>
    <w:rsid w:val="0039680F"/>
    <w:rsid w:val="003A2B3B"/>
    <w:rsid w:val="003A6797"/>
    <w:rsid w:val="003A70E0"/>
    <w:rsid w:val="003B0C0B"/>
    <w:rsid w:val="003B0E34"/>
    <w:rsid w:val="003B5DF8"/>
    <w:rsid w:val="003C0038"/>
    <w:rsid w:val="003C0E3C"/>
    <w:rsid w:val="003C2561"/>
    <w:rsid w:val="003C6A22"/>
    <w:rsid w:val="003D6862"/>
    <w:rsid w:val="003D6969"/>
    <w:rsid w:val="003D6C8A"/>
    <w:rsid w:val="003E7D0D"/>
    <w:rsid w:val="003E7F8B"/>
    <w:rsid w:val="003F2320"/>
    <w:rsid w:val="003F4A93"/>
    <w:rsid w:val="003F6424"/>
    <w:rsid w:val="004006A9"/>
    <w:rsid w:val="00407CBD"/>
    <w:rsid w:val="0041229D"/>
    <w:rsid w:val="00427564"/>
    <w:rsid w:val="00427871"/>
    <w:rsid w:val="00430112"/>
    <w:rsid w:val="00431E3B"/>
    <w:rsid w:val="0043394F"/>
    <w:rsid w:val="00434F90"/>
    <w:rsid w:val="00435196"/>
    <w:rsid w:val="00442269"/>
    <w:rsid w:val="004510FA"/>
    <w:rsid w:val="004531E6"/>
    <w:rsid w:val="00471C25"/>
    <w:rsid w:val="00477058"/>
    <w:rsid w:val="00477B46"/>
    <w:rsid w:val="00481A95"/>
    <w:rsid w:val="00486CCA"/>
    <w:rsid w:val="00491F01"/>
    <w:rsid w:val="004A004D"/>
    <w:rsid w:val="004A05BB"/>
    <w:rsid w:val="004A05EB"/>
    <w:rsid w:val="004A1F95"/>
    <w:rsid w:val="004A275B"/>
    <w:rsid w:val="004A70EA"/>
    <w:rsid w:val="004B17D3"/>
    <w:rsid w:val="004B62F4"/>
    <w:rsid w:val="004B76C6"/>
    <w:rsid w:val="004B77B8"/>
    <w:rsid w:val="004B7FDB"/>
    <w:rsid w:val="004C4611"/>
    <w:rsid w:val="004C79CE"/>
    <w:rsid w:val="004D239C"/>
    <w:rsid w:val="004D3A89"/>
    <w:rsid w:val="004E26AE"/>
    <w:rsid w:val="004E4992"/>
    <w:rsid w:val="004F44AC"/>
    <w:rsid w:val="004F5119"/>
    <w:rsid w:val="004F7B39"/>
    <w:rsid w:val="005010B9"/>
    <w:rsid w:val="00502320"/>
    <w:rsid w:val="0050628A"/>
    <w:rsid w:val="00511D03"/>
    <w:rsid w:val="0051230E"/>
    <w:rsid w:val="00512463"/>
    <w:rsid w:val="00513504"/>
    <w:rsid w:val="00513CDA"/>
    <w:rsid w:val="00514643"/>
    <w:rsid w:val="00515558"/>
    <w:rsid w:val="0051694F"/>
    <w:rsid w:val="00532846"/>
    <w:rsid w:val="00532931"/>
    <w:rsid w:val="005340BD"/>
    <w:rsid w:val="0054330D"/>
    <w:rsid w:val="00550801"/>
    <w:rsid w:val="00556A6D"/>
    <w:rsid w:val="0056637D"/>
    <w:rsid w:val="00566C4E"/>
    <w:rsid w:val="005733B1"/>
    <w:rsid w:val="0057423E"/>
    <w:rsid w:val="00574E9F"/>
    <w:rsid w:val="00576A40"/>
    <w:rsid w:val="0058121F"/>
    <w:rsid w:val="00582724"/>
    <w:rsid w:val="00586563"/>
    <w:rsid w:val="005865A1"/>
    <w:rsid w:val="0059212D"/>
    <w:rsid w:val="00594D0C"/>
    <w:rsid w:val="00596281"/>
    <w:rsid w:val="00596C29"/>
    <w:rsid w:val="005A5146"/>
    <w:rsid w:val="005A5190"/>
    <w:rsid w:val="005B2BAE"/>
    <w:rsid w:val="005B4541"/>
    <w:rsid w:val="005B5D83"/>
    <w:rsid w:val="005C3145"/>
    <w:rsid w:val="005D5E0E"/>
    <w:rsid w:val="005D6391"/>
    <w:rsid w:val="005E48D5"/>
    <w:rsid w:val="005E4BB4"/>
    <w:rsid w:val="005F356D"/>
    <w:rsid w:val="005F441F"/>
    <w:rsid w:val="005F5877"/>
    <w:rsid w:val="00601589"/>
    <w:rsid w:val="006047AC"/>
    <w:rsid w:val="006104F2"/>
    <w:rsid w:val="00612701"/>
    <w:rsid w:val="00613C21"/>
    <w:rsid w:val="00621E13"/>
    <w:rsid w:val="00622DCF"/>
    <w:rsid w:val="006243BF"/>
    <w:rsid w:val="0062548A"/>
    <w:rsid w:val="0062616A"/>
    <w:rsid w:val="006320E1"/>
    <w:rsid w:val="00634543"/>
    <w:rsid w:val="006346E8"/>
    <w:rsid w:val="00637E5F"/>
    <w:rsid w:val="00645FEA"/>
    <w:rsid w:val="006468F8"/>
    <w:rsid w:val="00657D63"/>
    <w:rsid w:val="00660D4C"/>
    <w:rsid w:val="0066275B"/>
    <w:rsid w:val="00662A2F"/>
    <w:rsid w:val="0066328A"/>
    <w:rsid w:val="00664147"/>
    <w:rsid w:val="00665E43"/>
    <w:rsid w:val="00666D1D"/>
    <w:rsid w:val="006817AE"/>
    <w:rsid w:val="006866F3"/>
    <w:rsid w:val="00686957"/>
    <w:rsid w:val="00694B3D"/>
    <w:rsid w:val="006960E8"/>
    <w:rsid w:val="006A08EB"/>
    <w:rsid w:val="006A5FB7"/>
    <w:rsid w:val="006B14E1"/>
    <w:rsid w:val="006B322A"/>
    <w:rsid w:val="006B3DC8"/>
    <w:rsid w:val="006C1940"/>
    <w:rsid w:val="006C2D27"/>
    <w:rsid w:val="006C5288"/>
    <w:rsid w:val="006D125D"/>
    <w:rsid w:val="006D6B97"/>
    <w:rsid w:val="006E0F2E"/>
    <w:rsid w:val="006E1A8C"/>
    <w:rsid w:val="006E3F13"/>
    <w:rsid w:val="006E4DFF"/>
    <w:rsid w:val="006E70D0"/>
    <w:rsid w:val="006F1663"/>
    <w:rsid w:val="006F3254"/>
    <w:rsid w:val="00701B2B"/>
    <w:rsid w:val="007072BE"/>
    <w:rsid w:val="00707339"/>
    <w:rsid w:val="007138B2"/>
    <w:rsid w:val="0071400D"/>
    <w:rsid w:val="0071502E"/>
    <w:rsid w:val="00720F70"/>
    <w:rsid w:val="00721A97"/>
    <w:rsid w:val="00721B44"/>
    <w:rsid w:val="00725292"/>
    <w:rsid w:val="00725636"/>
    <w:rsid w:val="00734A63"/>
    <w:rsid w:val="00735074"/>
    <w:rsid w:val="00736890"/>
    <w:rsid w:val="007375D9"/>
    <w:rsid w:val="0074093F"/>
    <w:rsid w:val="0074347F"/>
    <w:rsid w:val="0074710C"/>
    <w:rsid w:val="00750249"/>
    <w:rsid w:val="007616B6"/>
    <w:rsid w:val="00762896"/>
    <w:rsid w:val="00763018"/>
    <w:rsid w:val="007703D0"/>
    <w:rsid w:val="00772116"/>
    <w:rsid w:val="007721F2"/>
    <w:rsid w:val="00783DBE"/>
    <w:rsid w:val="00787AAC"/>
    <w:rsid w:val="00791706"/>
    <w:rsid w:val="0079346B"/>
    <w:rsid w:val="007950FF"/>
    <w:rsid w:val="007A2CB4"/>
    <w:rsid w:val="007A3626"/>
    <w:rsid w:val="007A42F6"/>
    <w:rsid w:val="007B4CA2"/>
    <w:rsid w:val="007B5191"/>
    <w:rsid w:val="007B5F1B"/>
    <w:rsid w:val="007B7F67"/>
    <w:rsid w:val="007C15AA"/>
    <w:rsid w:val="007C24F6"/>
    <w:rsid w:val="007C381D"/>
    <w:rsid w:val="007C53EE"/>
    <w:rsid w:val="007C5D57"/>
    <w:rsid w:val="007D2B81"/>
    <w:rsid w:val="007D2DF7"/>
    <w:rsid w:val="007D5C32"/>
    <w:rsid w:val="007D7B2A"/>
    <w:rsid w:val="007D7F1C"/>
    <w:rsid w:val="007E0EDA"/>
    <w:rsid w:val="007E1B77"/>
    <w:rsid w:val="007E2B6F"/>
    <w:rsid w:val="007E469B"/>
    <w:rsid w:val="007E62B3"/>
    <w:rsid w:val="007F57D3"/>
    <w:rsid w:val="007F7661"/>
    <w:rsid w:val="007F76CD"/>
    <w:rsid w:val="007F7F69"/>
    <w:rsid w:val="00802BE3"/>
    <w:rsid w:val="00805B58"/>
    <w:rsid w:val="00810442"/>
    <w:rsid w:val="008135C0"/>
    <w:rsid w:val="00814174"/>
    <w:rsid w:val="008165F1"/>
    <w:rsid w:val="00817808"/>
    <w:rsid w:val="00822017"/>
    <w:rsid w:val="008251C9"/>
    <w:rsid w:val="00825282"/>
    <w:rsid w:val="00846437"/>
    <w:rsid w:val="00847E08"/>
    <w:rsid w:val="00847F7A"/>
    <w:rsid w:val="008502E6"/>
    <w:rsid w:val="008548AD"/>
    <w:rsid w:val="00855446"/>
    <w:rsid w:val="00861785"/>
    <w:rsid w:val="0086214F"/>
    <w:rsid w:val="00863C2F"/>
    <w:rsid w:val="008666E1"/>
    <w:rsid w:val="00870C07"/>
    <w:rsid w:val="0087250A"/>
    <w:rsid w:val="00874A5B"/>
    <w:rsid w:val="0088361B"/>
    <w:rsid w:val="0088549F"/>
    <w:rsid w:val="008907B8"/>
    <w:rsid w:val="00893583"/>
    <w:rsid w:val="00897650"/>
    <w:rsid w:val="008A173B"/>
    <w:rsid w:val="008A36C0"/>
    <w:rsid w:val="008B35A1"/>
    <w:rsid w:val="008B3EA1"/>
    <w:rsid w:val="008B420F"/>
    <w:rsid w:val="008B63C3"/>
    <w:rsid w:val="008C368A"/>
    <w:rsid w:val="008C4E01"/>
    <w:rsid w:val="008C76B3"/>
    <w:rsid w:val="008D0C68"/>
    <w:rsid w:val="008D1DDF"/>
    <w:rsid w:val="008E6814"/>
    <w:rsid w:val="008E6A49"/>
    <w:rsid w:val="008F40AF"/>
    <w:rsid w:val="008F43FC"/>
    <w:rsid w:val="008F4D2C"/>
    <w:rsid w:val="00905EB7"/>
    <w:rsid w:val="00910835"/>
    <w:rsid w:val="00915356"/>
    <w:rsid w:val="00916D13"/>
    <w:rsid w:val="00925CBD"/>
    <w:rsid w:val="0093498C"/>
    <w:rsid w:val="009364D9"/>
    <w:rsid w:val="009402F9"/>
    <w:rsid w:val="00942760"/>
    <w:rsid w:val="009444A0"/>
    <w:rsid w:val="009457D9"/>
    <w:rsid w:val="00951EB9"/>
    <w:rsid w:val="0095642D"/>
    <w:rsid w:val="00956C77"/>
    <w:rsid w:val="00960086"/>
    <w:rsid w:val="00962981"/>
    <w:rsid w:val="00962CDF"/>
    <w:rsid w:val="0098585E"/>
    <w:rsid w:val="00986241"/>
    <w:rsid w:val="009958EC"/>
    <w:rsid w:val="00997A28"/>
    <w:rsid w:val="009A04A9"/>
    <w:rsid w:val="009A62A2"/>
    <w:rsid w:val="009B3FE4"/>
    <w:rsid w:val="009B4FC5"/>
    <w:rsid w:val="009B61EE"/>
    <w:rsid w:val="009B6AFC"/>
    <w:rsid w:val="009B7F5F"/>
    <w:rsid w:val="009C2ED5"/>
    <w:rsid w:val="009D1154"/>
    <w:rsid w:val="009D2895"/>
    <w:rsid w:val="009D3D4C"/>
    <w:rsid w:val="009D4ED6"/>
    <w:rsid w:val="009D5698"/>
    <w:rsid w:val="009D725C"/>
    <w:rsid w:val="009E2FCD"/>
    <w:rsid w:val="009E41C8"/>
    <w:rsid w:val="009E7722"/>
    <w:rsid w:val="009F3A39"/>
    <w:rsid w:val="009F3D27"/>
    <w:rsid w:val="009F78D9"/>
    <w:rsid w:val="00A036A1"/>
    <w:rsid w:val="00A119BC"/>
    <w:rsid w:val="00A15235"/>
    <w:rsid w:val="00A21209"/>
    <w:rsid w:val="00A21284"/>
    <w:rsid w:val="00A3005F"/>
    <w:rsid w:val="00A30436"/>
    <w:rsid w:val="00A31623"/>
    <w:rsid w:val="00A340D3"/>
    <w:rsid w:val="00A36242"/>
    <w:rsid w:val="00A4122E"/>
    <w:rsid w:val="00A42C37"/>
    <w:rsid w:val="00A45DC7"/>
    <w:rsid w:val="00A50924"/>
    <w:rsid w:val="00A555B4"/>
    <w:rsid w:val="00A62F6A"/>
    <w:rsid w:val="00A66621"/>
    <w:rsid w:val="00A66C02"/>
    <w:rsid w:val="00A67150"/>
    <w:rsid w:val="00A80D48"/>
    <w:rsid w:val="00A81358"/>
    <w:rsid w:val="00A82E40"/>
    <w:rsid w:val="00A83A02"/>
    <w:rsid w:val="00A84A85"/>
    <w:rsid w:val="00A85CB6"/>
    <w:rsid w:val="00A92FF2"/>
    <w:rsid w:val="00A97148"/>
    <w:rsid w:val="00A976B3"/>
    <w:rsid w:val="00AA1037"/>
    <w:rsid w:val="00AA27E8"/>
    <w:rsid w:val="00AA4770"/>
    <w:rsid w:val="00AB402A"/>
    <w:rsid w:val="00AB550F"/>
    <w:rsid w:val="00AB603D"/>
    <w:rsid w:val="00AB6228"/>
    <w:rsid w:val="00AB6531"/>
    <w:rsid w:val="00AB6A52"/>
    <w:rsid w:val="00AC23C6"/>
    <w:rsid w:val="00AC259E"/>
    <w:rsid w:val="00AC3558"/>
    <w:rsid w:val="00AC6BB7"/>
    <w:rsid w:val="00AC70D6"/>
    <w:rsid w:val="00AD0F76"/>
    <w:rsid w:val="00AD207D"/>
    <w:rsid w:val="00AD28CC"/>
    <w:rsid w:val="00AE2A2A"/>
    <w:rsid w:val="00AE3887"/>
    <w:rsid w:val="00AE506E"/>
    <w:rsid w:val="00AE69BD"/>
    <w:rsid w:val="00B15D31"/>
    <w:rsid w:val="00B247DB"/>
    <w:rsid w:val="00B24809"/>
    <w:rsid w:val="00B26B34"/>
    <w:rsid w:val="00B3118B"/>
    <w:rsid w:val="00B4499C"/>
    <w:rsid w:val="00B44AE2"/>
    <w:rsid w:val="00B46582"/>
    <w:rsid w:val="00B47635"/>
    <w:rsid w:val="00B47F04"/>
    <w:rsid w:val="00B521B7"/>
    <w:rsid w:val="00B5288E"/>
    <w:rsid w:val="00B529F2"/>
    <w:rsid w:val="00B5676A"/>
    <w:rsid w:val="00B64508"/>
    <w:rsid w:val="00B6466B"/>
    <w:rsid w:val="00B66CD0"/>
    <w:rsid w:val="00B7304B"/>
    <w:rsid w:val="00B77C29"/>
    <w:rsid w:val="00B81841"/>
    <w:rsid w:val="00B859EB"/>
    <w:rsid w:val="00BA308C"/>
    <w:rsid w:val="00BA3451"/>
    <w:rsid w:val="00BB17D1"/>
    <w:rsid w:val="00BB1AE9"/>
    <w:rsid w:val="00BB5303"/>
    <w:rsid w:val="00BB57BF"/>
    <w:rsid w:val="00BC0435"/>
    <w:rsid w:val="00BC3706"/>
    <w:rsid w:val="00BC6DBA"/>
    <w:rsid w:val="00BC7B9E"/>
    <w:rsid w:val="00BD0066"/>
    <w:rsid w:val="00BD5461"/>
    <w:rsid w:val="00BD73B8"/>
    <w:rsid w:val="00BE2BEA"/>
    <w:rsid w:val="00BF1126"/>
    <w:rsid w:val="00BF1969"/>
    <w:rsid w:val="00BF6172"/>
    <w:rsid w:val="00C00A01"/>
    <w:rsid w:val="00C02EEB"/>
    <w:rsid w:val="00C04B27"/>
    <w:rsid w:val="00C06AD0"/>
    <w:rsid w:val="00C102FD"/>
    <w:rsid w:val="00C104FC"/>
    <w:rsid w:val="00C10CEF"/>
    <w:rsid w:val="00C11B40"/>
    <w:rsid w:val="00C11E12"/>
    <w:rsid w:val="00C12603"/>
    <w:rsid w:val="00C20DF2"/>
    <w:rsid w:val="00C20EC7"/>
    <w:rsid w:val="00C31A9A"/>
    <w:rsid w:val="00C3276B"/>
    <w:rsid w:val="00C34976"/>
    <w:rsid w:val="00C35A6D"/>
    <w:rsid w:val="00C3645A"/>
    <w:rsid w:val="00C40767"/>
    <w:rsid w:val="00C4209B"/>
    <w:rsid w:val="00C4237F"/>
    <w:rsid w:val="00C51BC0"/>
    <w:rsid w:val="00C574BF"/>
    <w:rsid w:val="00C63128"/>
    <w:rsid w:val="00C6606A"/>
    <w:rsid w:val="00C707C3"/>
    <w:rsid w:val="00C717C1"/>
    <w:rsid w:val="00C73381"/>
    <w:rsid w:val="00C76013"/>
    <w:rsid w:val="00C76E55"/>
    <w:rsid w:val="00C82233"/>
    <w:rsid w:val="00C862A5"/>
    <w:rsid w:val="00C9002B"/>
    <w:rsid w:val="00C914F8"/>
    <w:rsid w:val="00C959A5"/>
    <w:rsid w:val="00CA0D9C"/>
    <w:rsid w:val="00CA25EC"/>
    <w:rsid w:val="00CB007F"/>
    <w:rsid w:val="00CC3654"/>
    <w:rsid w:val="00CC38F7"/>
    <w:rsid w:val="00CC61BA"/>
    <w:rsid w:val="00CC731C"/>
    <w:rsid w:val="00CD427B"/>
    <w:rsid w:val="00CE03EB"/>
    <w:rsid w:val="00CE6B57"/>
    <w:rsid w:val="00CE7321"/>
    <w:rsid w:val="00CF0C62"/>
    <w:rsid w:val="00CF4917"/>
    <w:rsid w:val="00CF5F63"/>
    <w:rsid w:val="00D0009C"/>
    <w:rsid w:val="00D05E84"/>
    <w:rsid w:val="00D223D5"/>
    <w:rsid w:val="00D22A55"/>
    <w:rsid w:val="00D267B7"/>
    <w:rsid w:val="00D27DD1"/>
    <w:rsid w:val="00D33526"/>
    <w:rsid w:val="00D40EE0"/>
    <w:rsid w:val="00D40F6B"/>
    <w:rsid w:val="00D41ECE"/>
    <w:rsid w:val="00D54C05"/>
    <w:rsid w:val="00D55CB1"/>
    <w:rsid w:val="00D61574"/>
    <w:rsid w:val="00D63CB0"/>
    <w:rsid w:val="00D64CE1"/>
    <w:rsid w:val="00D713E8"/>
    <w:rsid w:val="00D73CE3"/>
    <w:rsid w:val="00D769E5"/>
    <w:rsid w:val="00D82549"/>
    <w:rsid w:val="00D83DF1"/>
    <w:rsid w:val="00D87A98"/>
    <w:rsid w:val="00D92D27"/>
    <w:rsid w:val="00D95623"/>
    <w:rsid w:val="00DA0926"/>
    <w:rsid w:val="00DA5E0B"/>
    <w:rsid w:val="00DB1A5D"/>
    <w:rsid w:val="00DC2192"/>
    <w:rsid w:val="00DD3760"/>
    <w:rsid w:val="00DD4FE2"/>
    <w:rsid w:val="00DD796A"/>
    <w:rsid w:val="00DE42D0"/>
    <w:rsid w:val="00DE5CDF"/>
    <w:rsid w:val="00DE7277"/>
    <w:rsid w:val="00DF0C43"/>
    <w:rsid w:val="00DF2DC0"/>
    <w:rsid w:val="00DF52DD"/>
    <w:rsid w:val="00DF5C89"/>
    <w:rsid w:val="00E03F0A"/>
    <w:rsid w:val="00E07AE7"/>
    <w:rsid w:val="00E11E10"/>
    <w:rsid w:val="00E120DE"/>
    <w:rsid w:val="00E149F9"/>
    <w:rsid w:val="00E16960"/>
    <w:rsid w:val="00E1699E"/>
    <w:rsid w:val="00E2386A"/>
    <w:rsid w:val="00E23C39"/>
    <w:rsid w:val="00E3043D"/>
    <w:rsid w:val="00E31778"/>
    <w:rsid w:val="00E32A10"/>
    <w:rsid w:val="00E32BD2"/>
    <w:rsid w:val="00E33141"/>
    <w:rsid w:val="00E34DFC"/>
    <w:rsid w:val="00E35B89"/>
    <w:rsid w:val="00E41C9D"/>
    <w:rsid w:val="00E428F0"/>
    <w:rsid w:val="00E44DAD"/>
    <w:rsid w:val="00E50D7E"/>
    <w:rsid w:val="00E516F8"/>
    <w:rsid w:val="00E52E03"/>
    <w:rsid w:val="00E54B44"/>
    <w:rsid w:val="00E54DA1"/>
    <w:rsid w:val="00E5538C"/>
    <w:rsid w:val="00E65354"/>
    <w:rsid w:val="00E67C68"/>
    <w:rsid w:val="00E708EB"/>
    <w:rsid w:val="00E71124"/>
    <w:rsid w:val="00E71C5F"/>
    <w:rsid w:val="00E72048"/>
    <w:rsid w:val="00E770A9"/>
    <w:rsid w:val="00E83214"/>
    <w:rsid w:val="00E92517"/>
    <w:rsid w:val="00E940F6"/>
    <w:rsid w:val="00E972F4"/>
    <w:rsid w:val="00E97889"/>
    <w:rsid w:val="00EB2C1C"/>
    <w:rsid w:val="00EB6611"/>
    <w:rsid w:val="00EC0C10"/>
    <w:rsid w:val="00EC28DC"/>
    <w:rsid w:val="00EC5C2C"/>
    <w:rsid w:val="00EC5CBC"/>
    <w:rsid w:val="00EC6245"/>
    <w:rsid w:val="00EC7958"/>
    <w:rsid w:val="00ED20DB"/>
    <w:rsid w:val="00ED3244"/>
    <w:rsid w:val="00EF0587"/>
    <w:rsid w:val="00F003D2"/>
    <w:rsid w:val="00F03ECA"/>
    <w:rsid w:val="00F06DBC"/>
    <w:rsid w:val="00F15A59"/>
    <w:rsid w:val="00F24160"/>
    <w:rsid w:val="00F26DD5"/>
    <w:rsid w:val="00F32597"/>
    <w:rsid w:val="00F32643"/>
    <w:rsid w:val="00F402A6"/>
    <w:rsid w:val="00F429F5"/>
    <w:rsid w:val="00F43262"/>
    <w:rsid w:val="00F43E3D"/>
    <w:rsid w:val="00F44AA4"/>
    <w:rsid w:val="00F53896"/>
    <w:rsid w:val="00F56805"/>
    <w:rsid w:val="00F6208D"/>
    <w:rsid w:val="00F638FC"/>
    <w:rsid w:val="00F70189"/>
    <w:rsid w:val="00F7070A"/>
    <w:rsid w:val="00F75098"/>
    <w:rsid w:val="00F76190"/>
    <w:rsid w:val="00F83584"/>
    <w:rsid w:val="00F84DCC"/>
    <w:rsid w:val="00F84FDD"/>
    <w:rsid w:val="00F87842"/>
    <w:rsid w:val="00F878C9"/>
    <w:rsid w:val="00F93751"/>
    <w:rsid w:val="00F954FC"/>
    <w:rsid w:val="00F96520"/>
    <w:rsid w:val="00FA0353"/>
    <w:rsid w:val="00FA261A"/>
    <w:rsid w:val="00FA49B9"/>
    <w:rsid w:val="00FA57A6"/>
    <w:rsid w:val="00FB30BF"/>
    <w:rsid w:val="00FB5945"/>
    <w:rsid w:val="00FC0CD2"/>
    <w:rsid w:val="00FC2FBE"/>
    <w:rsid w:val="00FD17C1"/>
    <w:rsid w:val="00FD3FD4"/>
    <w:rsid w:val="00FE1123"/>
    <w:rsid w:val="00FF1F14"/>
    <w:rsid w:val="00FF330D"/>
    <w:rsid w:val="00FF3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7f4e1,#e2d58d,#f5f1d7,#e1dcae,#f1eed4,#ebe2af,#f2edce,#ede6b9"/>
    </o:shapedefaults>
    <o:shapelayout v:ext="edit">
      <o:idmap v:ext="edit" data="1"/>
    </o:shapelayout>
  </w:shapeDefaults>
  <w:decimalSymbol w:val="."/>
  <w:listSeparator w:val=","/>
  <w14:docId w14:val="114EBF56"/>
  <w15:docId w15:val="{9B393B5D-67EF-4D63-BB5A-2D53C51A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976B3"/>
  </w:style>
  <w:style w:type="paragraph" w:styleId="Heading1">
    <w:name w:val="heading 1"/>
    <w:aliases w:val="Lev 1"/>
    <w:next w:val="AFWIntroBW"/>
    <w:link w:val="Heading1Char"/>
    <w:uiPriority w:val="9"/>
    <w:qFormat/>
    <w:rsid w:val="00D40EE0"/>
    <w:pPr>
      <w:keepNext/>
      <w:keepLines/>
      <w:pageBreakBefore/>
      <w:numPr>
        <w:numId w:val="7"/>
      </w:numPr>
      <w:spacing w:after="520"/>
      <w:outlineLvl w:val="0"/>
    </w:pPr>
    <w:rPr>
      <w:rFonts w:ascii="Arial" w:eastAsiaTheme="majorEastAsia" w:hAnsi="Arial" w:cstheme="majorBidi"/>
      <w:bCs/>
      <w:sz w:val="40"/>
      <w:szCs w:val="28"/>
    </w:rPr>
  </w:style>
  <w:style w:type="paragraph" w:styleId="Heading2">
    <w:name w:val="heading 2"/>
    <w:aliases w:val="Lev 2"/>
    <w:basedOn w:val="Heading1"/>
    <w:next w:val="AFWBody"/>
    <w:link w:val="Heading2Char"/>
    <w:uiPriority w:val="9"/>
    <w:qFormat/>
    <w:rsid w:val="001A602D"/>
    <w:pPr>
      <w:pageBreakBefore w:val="0"/>
      <w:numPr>
        <w:ilvl w:val="1"/>
      </w:numPr>
      <w:spacing w:before="360" w:after="240"/>
      <w:outlineLvl w:val="1"/>
    </w:pPr>
    <w:rPr>
      <w:bCs w:val="0"/>
      <w:sz w:val="28"/>
      <w:szCs w:val="26"/>
    </w:rPr>
  </w:style>
  <w:style w:type="paragraph" w:styleId="Heading3">
    <w:name w:val="heading 3"/>
    <w:aliases w:val="Lev 3"/>
    <w:basedOn w:val="Heading2"/>
    <w:next w:val="AFWBody"/>
    <w:link w:val="Heading3Char"/>
    <w:uiPriority w:val="9"/>
    <w:qFormat/>
    <w:rsid w:val="00B46582"/>
    <w:pPr>
      <w:numPr>
        <w:ilvl w:val="0"/>
        <w:numId w:val="0"/>
      </w:numPr>
      <w:spacing w:after="120"/>
      <w:outlineLvl w:val="2"/>
    </w:pPr>
    <w:rPr>
      <w:b/>
      <w:bCs/>
      <w:sz w:val="22"/>
    </w:rPr>
  </w:style>
  <w:style w:type="paragraph" w:styleId="Heading4">
    <w:name w:val="heading 4"/>
    <w:aliases w:val="Lev 4"/>
    <w:basedOn w:val="Heading3"/>
    <w:next w:val="AFW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AFWBody"/>
    <w:link w:val="Heading5Char"/>
    <w:uiPriority w:val="9"/>
    <w:rsid w:val="00D40EE0"/>
    <w:pPr>
      <w:numPr>
        <w:ilvl w:val="4"/>
      </w:numPr>
      <w:outlineLvl w:val="4"/>
    </w:pPr>
    <w:rPr>
      <w:i/>
    </w:rPr>
  </w:style>
  <w:style w:type="paragraph" w:styleId="Heading6">
    <w:name w:val="heading 6"/>
    <w:aliases w:val="Lev 6"/>
    <w:basedOn w:val="Heading5"/>
    <w:next w:val="AFWBody"/>
    <w:link w:val="Heading6Char"/>
    <w:uiPriority w:val="9"/>
    <w:rsid w:val="00BD5461"/>
    <w:pPr>
      <w:outlineLvl w:val="5"/>
    </w:pPr>
    <w:rPr>
      <w:color w:val="807E92" w:themeColor="text2"/>
    </w:rPr>
  </w:style>
  <w:style w:type="paragraph" w:styleId="Heading7">
    <w:name w:val="heading 7"/>
    <w:basedOn w:val="Normal"/>
    <w:next w:val="Normal"/>
    <w:link w:val="Heading7Char"/>
    <w:uiPriority w:val="9"/>
    <w:semiHidden/>
    <w:rsid w:val="001A602D"/>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WBody">
    <w:name w:val="AFW Body"/>
    <w:aliases w:val="Body,Body (IACC),Normal Arial"/>
    <w:qFormat/>
    <w:rsid w:val="001A602D"/>
    <w:pPr>
      <w:spacing w:after="160" w:line="240" w:lineRule="atLeast"/>
    </w:pPr>
    <w:rPr>
      <w:rFonts w:ascii="Arial" w:hAnsi="Arial"/>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D40EE0"/>
    <w:rPr>
      <w:rFonts w:ascii="Arial" w:eastAsiaTheme="majorEastAsia" w:hAnsi="Arial" w:cstheme="majorBidi"/>
      <w:bCs/>
      <w:sz w:val="40"/>
      <w:szCs w:val="28"/>
    </w:rPr>
  </w:style>
  <w:style w:type="character" w:customStyle="1" w:styleId="Heading2Char">
    <w:name w:val="Heading 2 Char"/>
    <w:aliases w:val="Lev 2 Char"/>
    <w:basedOn w:val="DefaultParagraphFont"/>
    <w:link w:val="Heading2"/>
    <w:uiPriority w:val="9"/>
    <w:rsid w:val="0062616A"/>
    <w:rPr>
      <w:rFonts w:ascii="Arial" w:eastAsiaTheme="majorEastAsia" w:hAnsi="Arial" w:cstheme="majorBidi"/>
      <w:sz w:val="28"/>
      <w:szCs w:val="26"/>
    </w:rPr>
  </w:style>
  <w:style w:type="character" w:customStyle="1" w:styleId="Heading3Char">
    <w:name w:val="Heading 3 Char"/>
    <w:aliases w:val="Lev 3 Char"/>
    <w:basedOn w:val="DefaultParagraphFont"/>
    <w:link w:val="Heading3"/>
    <w:uiPriority w:val="9"/>
    <w:rsid w:val="00B46582"/>
    <w:rPr>
      <w:rFonts w:ascii="Arial" w:eastAsiaTheme="majorEastAsia" w:hAnsi="Arial" w:cstheme="majorBidi"/>
      <w:b/>
      <w:bCs/>
      <w:color w:val="5F2167"/>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D40EE0"/>
    <w:rPr>
      <w:rFonts w:ascii="Arial" w:eastAsiaTheme="majorEastAsia" w:hAnsi="Arial" w:cstheme="majorBidi"/>
      <w:i/>
      <w:iCs/>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BD5461"/>
    <w:rPr>
      <w:rFonts w:ascii="Arial" w:eastAsiaTheme="majorEastAsia" w:hAnsi="Arial" w:cstheme="majorBidi"/>
      <w:i/>
      <w:iCs/>
      <w:color w:val="807E92" w:themeColor="text2"/>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404040" w:themeColor="text1" w:themeTint="BF"/>
      <w:sz w:val="20"/>
      <w:szCs w:val="20"/>
    </w:rPr>
  </w:style>
  <w:style w:type="paragraph" w:customStyle="1" w:styleId="AFWBodyNumbered">
    <w:name w:val="AFW Body Numbered"/>
    <w:aliases w:val="Paranums"/>
    <w:basedOn w:val="AFWBody"/>
    <w:qFormat/>
    <w:rsid w:val="001A602D"/>
    <w:pPr>
      <w:numPr>
        <w:ilvl w:val="2"/>
        <w:numId w:val="7"/>
      </w:numPr>
    </w:pPr>
  </w:style>
  <w:style w:type="paragraph" w:customStyle="1" w:styleId="AFWBulletsBW">
    <w:name w:val="AFW Bullets B+W"/>
    <w:aliases w:val="Bullets 1,AFW Bullets"/>
    <w:basedOn w:val="AFWBody"/>
    <w:qFormat/>
    <w:rsid w:val="00D40EE0"/>
    <w:pPr>
      <w:numPr>
        <w:numId w:val="4"/>
      </w:numPr>
    </w:pPr>
  </w:style>
  <w:style w:type="paragraph" w:customStyle="1" w:styleId="AFWBullets2BW">
    <w:name w:val="AFW Bullets 2 B+W"/>
    <w:aliases w:val="Bullets 2"/>
    <w:basedOn w:val="AFWBulletsBW"/>
    <w:qFormat/>
    <w:rsid w:val="00D40EE0"/>
    <w:pPr>
      <w:numPr>
        <w:numId w:val="5"/>
      </w:numPr>
      <w:ind w:left="1418" w:hanging="284"/>
    </w:pPr>
  </w:style>
  <w:style w:type="paragraph" w:customStyle="1" w:styleId="AFWRoman">
    <w:name w:val="AFW Roman"/>
    <w:aliases w:val="Roman"/>
    <w:basedOn w:val="AFWBulletsBW"/>
    <w:qFormat/>
    <w:rsid w:val="00B47635"/>
    <w:pPr>
      <w:numPr>
        <w:numId w:val="6"/>
      </w:numPr>
      <w:ind w:left="1135" w:hanging="284"/>
    </w:pPr>
  </w:style>
  <w:style w:type="paragraph" w:styleId="Header">
    <w:name w:val="header"/>
    <w:link w:val="HeaderChar"/>
    <w:uiPriority w:val="99"/>
    <w:rsid w:val="00A21209"/>
    <w:pPr>
      <w:tabs>
        <w:tab w:val="center" w:pos="397"/>
        <w:tab w:val="left" w:pos="1134"/>
        <w:tab w:val="right" w:pos="9639"/>
      </w:tabs>
    </w:pPr>
    <w:rPr>
      <w:rFonts w:ascii="Arial" w:hAnsi="Arial"/>
      <w:sz w:val="14"/>
    </w:rPr>
  </w:style>
  <w:style w:type="character" w:customStyle="1" w:styleId="HeaderChar">
    <w:name w:val="Header Char"/>
    <w:basedOn w:val="DefaultParagraphFont"/>
    <w:link w:val="Header"/>
    <w:uiPriority w:val="99"/>
    <w:rsid w:val="00A21209"/>
    <w:rPr>
      <w:rFonts w:ascii="Arial" w:hAnsi="Arial"/>
      <w:sz w:val="14"/>
    </w:rPr>
  </w:style>
  <w:style w:type="paragraph" w:styleId="Footer">
    <w:name w:val="footer"/>
    <w:link w:val="FooterChar"/>
    <w:uiPriority w:val="99"/>
    <w:rsid w:val="00A21209"/>
    <w:pPr>
      <w:tabs>
        <w:tab w:val="center" w:pos="4513"/>
        <w:tab w:val="right" w:pos="9026"/>
      </w:tabs>
    </w:pPr>
    <w:rPr>
      <w:rFonts w:ascii="Arial" w:hAnsi="Arial"/>
      <w:sz w:val="14"/>
    </w:rPr>
  </w:style>
  <w:style w:type="character" w:customStyle="1" w:styleId="FooterChar">
    <w:name w:val="Footer Char"/>
    <w:basedOn w:val="DefaultParagraphFont"/>
    <w:link w:val="Footer"/>
    <w:uiPriority w:val="99"/>
    <w:rsid w:val="00A21209"/>
    <w:rPr>
      <w:rFonts w:ascii="Arial" w:hAnsi="Arial"/>
      <w:sz w:val="14"/>
    </w:rPr>
  </w:style>
  <w:style w:type="paragraph" w:customStyle="1" w:styleId="AFWIntroBW">
    <w:name w:val="AFW Intro B+W"/>
    <w:aliases w:val="Intro,AFW Intro"/>
    <w:basedOn w:val="AFWBody"/>
    <w:next w:val="AFWBody"/>
    <w:qFormat/>
    <w:rsid w:val="00D40EE0"/>
    <w:pPr>
      <w:spacing w:after="240" w:line="320" w:lineRule="atLeast"/>
    </w:pPr>
    <w:rPr>
      <w:color w:val="auto"/>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WTable">
    <w:name w:val="AFW Table"/>
    <w:aliases w:val="Table Content"/>
    <w:basedOn w:val="AFWBody"/>
    <w:qFormat/>
    <w:rsid w:val="00D40EE0"/>
    <w:pPr>
      <w:spacing w:after="0" w:line="240" w:lineRule="auto"/>
    </w:pPr>
    <w:rPr>
      <w:color w:val="auto"/>
      <w:sz w:val="16"/>
    </w:rPr>
  </w:style>
  <w:style w:type="table" w:customStyle="1" w:styleId="LightShading-Accent11">
    <w:name w:val="Light Shading - Accent 11"/>
    <w:basedOn w:val="TableNormal"/>
    <w:uiPriority w:val="60"/>
    <w:rsid w:val="001A602D"/>
    <w:rPr>
      <w:color w:val="2F2F2F" w:themeColor="accent1" w:themeShade="BF"/>
    </w:rPr>
    <w:tblPr>
      <w:tblStyleRowBandSize w:val="1"/>
      <w:tblStyleColBandSize w:val="1"/>
      <w:tblBorders>
        <w:top w:val="single" w:sz="8" w:space="0" w:color="3F3F3F" w:themeColor="accent1"/>
        <w:bottom w:val="single" w:sz="8" w:space="0" w:color="3F3F3F" w:themeColor="accent1"/>
      </w:tblBorders>
    </w:tblPr>
    <w:tblStylePr w:type="firstRow">
      <w:pPr>
        <w:spacing w:before="0" w:after="0" w:line="240" w:lineRule="auto"/>
      </w:pPr>
      <w:rPr>
        <w:b/>
        <w:bCs/>
      </w:rPr>
      <w:tblPr/>
      <w:tcPr>
        <w:tcBorders>
          <w:top w:val="single" w:sz="8" w:space="0" w:color="3F3F3F" w:themeColor="accent1"/>
          <w:left w:val="nil"/>
          <w:bottom w:val="single" w:sz="8" w:space="0" w:color="3F3F3F" w:themeColor="accent1"/>
          <w:right w:val="nil"/>
          <w:insideH w:val="nil"/>
          <w:insideV w:val="nil"/>
        </w:tcBorders>
      </w:tcPr>
    </w:tblStylePr>
    <w:tblStylePr w:type="lastRow">
      <w:pPr>
        <w:spacing w:before="0" w:after="0" w:line="240" w:lineRule="auto"/>
      </w:pPr>
      <w:rPr>
        <w:b/>
        <w:bCs/>
      </w:rPr>
      <w:tblPr/>
      <w:tcPr>
        <w:tcBorders>
          <w:top w:val="single" w:sz="8" w:space="0" w:color="3F3F3F" w:themeColor="accent1"/>
          <w:left w:val="nil"/>
          <w:bottom w:val="single" w:sz="8" w:space="0" w:color="3F3F3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accent1" w:themeFillTint="3F"/>
      </w:tcPr>
    </w:tblStylePr>
    <w:tblStylePr w:type="band1Horz">
      <w:tblPr/>
      <w:tcPr>
        <w:tcBorders>
          <w:left w:val="nil"/>
          <w:right w:val="nil"/>
          <w:insideH w:val="nil"/>
          <w:insideV w:val="nil"/>
        </w:tcBorders>
        <w:shd w:val="clear" w:color="auto" w:fill="CFCFCF" w:themeFill="accent1" w:themeFillTint="3F"/>
      </w:tcPr>
    </w:tblStylePr>
  </w:style>
  <w:style w:type="table" w:customStyle="1" w:styleId="LightShading1">
    <w:name w:val="Light Shading1"/>
    <w:basedOn w:val="TableNormal"/>
    <w:uiPriority w:val="60"/>
    <w:rsid w:val="001A60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mecFosterWheelerReportTableBW">
    <w:name w:val="Amec Foster Wheeler Report Table B+W"/>
    <w:basedOn w:val="LightShading1"/>
    <w:uiPriority w:val="99"/>
    <w:qFormat/>
    <w:rsid w:val="00FA261A"/>
    <w:rPr>
      <w:rFonts w:ascii="Arial" w:hAnsi="Arial"/>
      <w:sz w:val="20"/>
    </w:rPr>
    <w:tblPr>
      <w:tblInd w:w="113" w:type="dxa"/>
      <w:tblBorders>
        <w:top w:val="none" w:sz="0" w:space="0" w:color="auto"/>
        <w:bottom w:val="single" w:sz="4" w:space="0" w:color="auto"/>
      </w:tblBorders>
      <w:tblCellMar>
        <w:top w:w="113" w:type="dxa"/>
        <w:bottom w:w="113" w:type="dxa"/>
      </w:tblCellMar>
    </w:tblPr>
    <w:tblStylePr w:type="firstRow">
      <w:pPr>
        <w:spacing w:before="0" w:after="0" w:line="240" w:lineRule="auto"/>
      </w:pPr>
      <w:rPr>
        <w:rFonts w:ascii="Arial" w:hAnsi="Arial"/>
        <w:b/>
        <w:bCs/>
        <w:color w:val="auto"/>
        <w:sz w:val="20"/>
      </w:rPr>
      <w:tblPr/>
      <w:tcPr>
        <w:tcBorders>
          <w:top w:val="single" w:sz="4" w:space="0" w:color="auto"/>
          <w:left w:val="nil"/>
          <w:bottom w:val="single" w:sz="4"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AEAEA"/>
      </w:tcPr>
    </w:tblStylePr>
    <w:tblStylePr w:type="band2Horz">
      <w:tblPr/>
      <w:tcPr>
        <w:shd w:val="clear" w:color="auto" w:fill="FFFFFF" w:themeFill="background1"/>
      </w:tcPr>
    </w:tblStylePr>
  </w:style>
  <w:style w:type="paragraph" w:customStyle="1" w:styleId="AFWTableTitleBW">
    <w:name w:val="AFW Table Title B+W"/>
    <w:basedOn w:val="Heading4"/>
    <w:rsid w:val="00D40EE0"/>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D8D8D8" w:themeColor="accent2"/>
        <w:left w:val="single" w:sz="8" w:space="0" w:color="D8D8D8" w:themeColor="accent2"/>
        <w:bottom w:val="single" w:sz="8" w:space="0" w:color="D8D8D8" w:themeColor="accent2"/>
        <w:right w:val="single" w:sz="8" w:space="0" w:color="D8D8D8" w:themeColor="accent2"/>
      </w:tblBorders>
    </w:tblPr>
    <w:tblStylePr w:type="firstRow">
      <w:pPr>
        <w:spacing w:before="0" w:after="0" w:line="240" w:lineRule="auto"/>
      </w:pPr>
      <w:rPr>
        <w:b/>
        <w:bCs/>
        <w:color w:val="FFFFFF" w:themeColor="background1"/>
      </w:rPr>
      <w:tblPr/>
      <w:tcPr>
        <w:shd w:val="clear" w:color="auto" w:fill="D8D8D8" w:themeFill="accent2"/>
      </w:tcPr>
    </w:tblStylePr>
    <w:tblStylePr w:type="lastRow">
      <w:pPr>
        <w:spacing w:before="0" w:after="0" w:line="240" w:lineRule="auto"/>
      </w:pPr>
      <w:rPr>
        <w:b/>
        <w:bCs/>
      </w:rPr>
      <w:tblPr/>
      <w:tcPr>
        <w:tcBorders>
          <w:top w:val="double" w:sz="6" w:space="0" w:color="D8D8D8" w:themeColor="accent2"/>
          <w:left w:val="single" w:sz="8" w:space="0" w:color="D8D8D8" w:themeColor="accent2"/>
          <w:bottom w:val="single" w:sz="8" w:space="0" w:color="D8D8D8" w:themeColor="accent2"/>
          <w:right w:val="single" w:sz="8" w:space="0" w:color="D8D8D8" w:themeColor="accent2"/>
        </w:tcBorders>
      </w:tcPr>
    </w:tblStylePr>
    <w:tblStylePr w:type="firstCol">
      <w:rPr>
        <w:b/>
        <w:bCs/>
      </w:rPr>
    </w:tblStylePr>
    <w:tblStylePr w:type="lastCol">
      <w:rPr>
        <w:b/>
        <w:bCs/>
      </w:rPr>
    </w:tblStylePr>
    <w:tblStylePr w:type="band1Vert">
      <w:tblPr/>
      <w:tcPr>
        <w:tcBorders>
          <w:top w:val="single" w:sz="8" w:space="0" w:color="D8D8D8" w:themeColor="accent2"/>
          <w:left w:val="single" w:sz="8" w:space="0" w:color="D8D8D8" w:themeColor="accent2"/>
          <w:bottom w:val="single" w:sz="8" w:space="0" w:color="D8D8D8" w:themeColor="accent2"/>
          <w:right w:val="single" w:sz="8" w:space="0" w:color="D8D8D8" w:themeColor="accent2"/>
        </w:tcBorders>
      </w:tcPr>
    </w:tblStylePr>
    <w:tblStylePr w:type="band1Horz">
      <w:tblPr/>
      <w:tcPr>
        <w:tcBorders>
          <w:top w:val="single" w:sz="8" w:space="0" w:color="D8D8D8" w:themeColor="accent2"/>
          <w:left w:val="single" w:sz="8" w:space="0" w:color="D8D8D8" w:themeColor="accent2"/>
          <w:bottom w:val="single" w:sz="8" w:space="0" w:color="D8D8D8" w:themeColor="accent2"/>
          <w:right w:val="single" w:sz="8" w:space="0" w:color="D8D8D8" w:themeColor="accent2"/>
        </w:tcBorders>
      </w:tcPr>
    </w:tblStylePr>
  </w:style>
  <w:style w:type="paragraph" w:customStyle="1" w:styleId="AFWFigureTitleBW">
    <w:name w:val="AFW Figure Title B+W"/>
    <w:basedOn w:val="AFWTableTitleBW"/>
    <w:next w:val="AFWBody"/>
    <w:rsid w:val="00D40EE0"/>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AFWBodySmall">
    <w:name w:val="AFW Body Small"/>
    <w:aliases w:val="Body Small"/>
    <w:basedOn w:val="AFWBody"/>
    <w:qFormat/>
    <w:rsid w:val="001A602D"/>
    <w:pPr>
      <w:spacing w:after="0" w:line="240" w:lineRule="auto"/>
    </w:pPr>
    <w:rPr>
      <w:sz w:val="16"/>
    </w:rPr>
  </w:style>
  <w:style w:type="paragraph" w:customStyle="1" w:styleId="AFWReleaseHeadingsBW">
    <w:name w:val="AFW Release Headings B+W"/>
    <w:basedOn w:val="AFWBody"/>
    <w:next w:val="AFWBodySmall"/>
    <w:rsid w:val="00D40EE0"/>
    <w:pPr>
      <w:pBdr>
        <w:top w:val="single" w:sz="6" w:space="1" w:color="D8D8D8" w:themeColor="accent2"/>
      </w:pBdr>
      <w:spacing w:before="480" w:after="80" w:line="240" w:lineRule="auto"/>
    </w:pPr>
    <w:rPr>
      <w:color w:val="auto"/>
    </w:rPr>
  </w:style>
  <w:style w:type="paragraph" w:customStyle="1" w:styleId="Heading1NoNumber">
    <w:name w:val="Heading 1 No Number"/>
    <w:next w:val="AFWBody"/>
    <w:rsid w:val="00D40EE0"/>
    <w:pPr>
      <w:pageBreakBefore/>
      <w:spacing w:after="480"/>
    </w:pPr>
    <w:rPr>
      <w:rFonts w:ascii="Arial" w:eastAsiaTheme="majorEastAsia" w:hAnsi="Arial" w:cstheme="majorBidi"/>
      <w:bCs/>
      <w:sz w:val="40"/>
      <w:szCs w:val="28"/>
    </w:rPr>
  </w:style>
  <w:style w:type="paragraph" w:styleId="TOC2">
    <w:name w:val="toc 2"/>
    <w:basedOn w:val="AFWBody"/>
    <w:next w:val="AFW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AFWBody"/>
    <w:next w:val="AFWBody"/>
    <w:autoRedefine/>
    <w:uiPriority w:val="39"/>
    <w:unhideWhenUsed/>
    <w:rsid w:val="00E3043D"/>
    <w:pPr>
      <w:tabs>
        <w:tab w:val="left" w:pos="1760"/>
        <w:tab w:val="right" w:pos="9639"/>
      </w:tabs>
      <w:spacing w:before="360" w:after="120" w:line="240" w:lineRule="auto"/>
      <w:ind w:left="851" w:hanging="851"/>
    </w:pPr>
    <w:rPr>
      <w:noProof/>
      <w:color w:val="auto"/>
      <w:sz w:val="28"/>
    </w:rPr>
  </w:style>
  <w:style w:type="paragraph" w:styleId="TOC3">
    <w:name w:val="toc 3"/>
    <w:basedOn w:val="AFWBody"/>
    <w:next w:val="AFW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951EB9"/>
    <w:rPr>
      <w:color w:val="595959" w:themeColor="text1" w:themeTint="A6"/>
      <w:u w:val="single"/>
    </w:rPr>
  </w:style>
  <w:style w:type="paragraph" w:customStyle="1" w:styleId="AFWAppendixTitleBW">
    <w:name w:val="AFW Appendix Title B+W"/>
    <w:basedOn w:val="AFWBody"/>
    <w:next w:val="AFWBody"/>
    <w:rsid w:val="00D40EE0"/>
    <w:pPr>
      <w:keepNext/>
      <w:pageBreakBefore/>
      <w:numPr>
        <w:numId w:val="3"/>
      </w:numPr>
      <w:spacing w:after="520" w:line="240" w:lineRule="auto"/>
      <w:outlineLvl w:val="0"/>
    </w:pPr>
    <w:rPr>
      <w:rFonts w:eastAsia="Times New Roman" w:cs="Arial"/>
      <w:bCs/>
      <w:color w:val="auto"/>
      <w:kern w:val="32"/>
      <w:sz w:val="40"/>
      <w:szCs w:val="40"/>
      <w:lang w:eastAsia="en-GB"/>
    </w:rPr>
  </w:style>
  <w:style w:type="paragraph" w:customStyle="1" w:styleId="AFWCoverDateBW">
    <w:name w:val="AFW Cover Date B+W"/>
    <w:basedOn w:val="Normal"/>
    <w:rsid w:val="00D40EE0"/>
    <w:rPr>
      <w:rFonts w:ascii="Arial" w:hAnsi="Arial"/>
      <w:sz w:val="20"/>
    </w:rPr>
  </w:style>
  <w:style w:type="paragraph" w:customStyle="1" w:styleId="AFWCoverClientBW">
    <w:name w:val="AFW Cover Client B+W"/>
    <w:basedOn w:val="AFWBody"/>
    <w:next w:val="AFWCoverProjectBW"/>
    <w:rsid w:val="00D40EE0"/>
    <w:pPr>
      <w:spacing w:after="240" w:line="240" w:lineRule="auto"/>
    </w:pPr>
    <w:rPr>
      <w:color w:val="auto"/>
      <w:sz w:val="28"/>
    </w:rPr>
  </w:style>
  <w:style w:type="paragraph" w:customStyle="1" w:styleId="AFWCoverProjectBW">
    <w:name w:val="AFW Cover Project B+W"/>
    <w:basedOn w:val="AFWBody"/>
    <w:next w:val="AFWDocTitleBW"/>
    <w:rsid w:val="00D40EE0"/>
    <w:pPr>
      <w:spacing w:after="240" w:line="240" w:lineRule="auto"/>
    </w:pPr>
    <w:rPr>
      <w:color w:val="auto"/>
      <w:sz w:val="44"/>
      <w:szCs w:val="40"/>
    </w:rPr>
  </w:style>
  <w:style w:type="paragraph" w:customStyle="1" w:styleId="AFWDocTitleBW">
    <w:name w:val="AFW Doc Title B+W"/>
    <w:basedOn w:val="AFWBody"/>
    <w:next w:val="AFWBody"/>
    <w:rsid w:val="00D40EE0"/>
    <w:pPr>
      <w:spacing w:line="240" w:lineRule="auto"/>
    </w:pPr>
    <w:rPr>
      <w:color w:val="auto"/>
      <w:sz w:val="28"/>
    </w:rPr>
  </w:style>
  <w:style w:type="paragraph" w:styleId="ListParagraph">
    <w:name w:val="List Paragraph"/>
    <w:basedOn w:val="Normal"/>
    <w:uiPriority w:val="34"/>
    <w:qFormat/>
    <w:rsid w:val="001A602D"/>
    <w:pPr>
      <w:spacing w:line="240" w:lineRule="atLeast"/>
      <w:ind w:left="720"/>
      <w:contextualSpacing/>
    </w:pPr>
    <w:rPr>
      <w:sz w:val="20"/>
      <w:lang w:val="en-US"/>
    </w:rPr>
  </w:style>
  <w:style w:type="paragraph" w:styleId="TableofFigures">
    <w:name w:val="table of figures"/>
    <w:basedOn w:val="AFW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910835"/>
    <w:rPr>
      <w:rFonts w:ascii="Arial" w:hAnsi="Arial"/>
      <w:b/>
      <w:color w:val="auto"/>
      <w:sz w:val="20"/>
    </w:rPr>
  </w:style>
  <w:style w:type="paragraph" w:customStyle="1" w:styleId="AFWDocRef">
    <w:name w:val="AFW Doc Ref"/>
    <w:basedOn w:val="AFWBodySmall"/>
    <w:rsid w:val="00D40EE0"/>
    <w:rPr>
      <w:color w:val="auto"/>
    </w:rPr>
  </w:style>
  <w:style w:type="character" w:styleId="FollowedHyperlink">
    <w:name w:val="FollowedHyperlink"/>
    <w:basedOn w:val="DefaultParagraphFont"/>
    <w:uiPriority w:val="99"/>
    <w:semiHidden/>
    <w:unhideWhenUsed/>
    <w:rsid w:val="00951EB9"/>
    <w:rPr>
      <w:color w:val="A6A6A6" w:themeColor="background1" w:themeShade="A6"/>
      <w:u w:val="single"/>
    </w:rPr>
  </w:style>
  <w:style w:type="table" w:styleId="TableGridLight">
    <w:name w:val="Grid Table Light"/>
    <w:basedOn w:val="TableNormal"/>
    <w:uiPriority w:val="40"/>
    <w:rsid w:val="00FA26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aliases w:val="RSK-FT,RSK-FT1,RSK-FT2,Harestanes Ref,Footnote Text Char Char,Footnote Text Char Char Char,Footnote Text Char Char Char Char,Footnote Text1 Char,Footnote Text1,Footnote Text1 Char Char Char,Char1,1"/>
    <w:basedOn w:val="Normal"/>
    <w:link w:val="FootnoteTextChar"/>
    <w:uiPriority w:val="99"/>
    <w:unhideWhenUsed/>
    <w:rsid w:val="00A976B3"/>
    <w:rPr>
      <w:rFonts w:ascii="Arial" w:hAnsi="Arial"/>
      <w:sz w:val="20"/>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A976B3"/>
    <w:rPr>
      <w:rFonts w:ascii="Arial" w:hAnsi="Arial"/>
      <w:sz w:val="20"/>
      <w:szCs w:val="20"/>
    </w:rPr>
  </w:style>
  <w:style w:type="paragraph" w:customStyle="1" w:styleId="Default">
    <w:name w:val="Default"/>
    <w:rsid w:val="000620BC"/>
    <w:pPr>
      <w:autoSpaceDE w:val="0"/>
      <w:autoSpaceDN w:val="0"/>
      <w:adjustRightInd w:val="0"/>
    </w:pPr>
    <w:rPr>
      <w:rFonts w:ascii="Calibri" w:hAnsi="Calibri" w:cs="Calibri"/>
      <w:color w:val="000000"/>
      <w:sz w:val="24"/>
      <w:szCs w:val="24"/>
    </w:rPr>
  </w:style>
  <w:style w:type="character" w:styleId="FootnoteReference">
    <w:name w:val="footnote reference"/>
    <w:aliases w:val="SUPERS,EN Footnote Reference,Footnote symbol,Footnote reference number,Footnote,Times 10 Point,Exposant 3 Point,Ref,de nota al pie,note TESI,number,MIP Footnote Reference"/>
    <w:basedOn w:val="DefaultParagraphFont"/>
    <w:uiPriority w:val="99"/>
    <w:unhideWhenUsed/>
    <w:rsid w:val="00274EF7"/>
    <w:rPr>
      <w:vertAlign w:val="superscript"/>
    </w:rPr>
  </w:style>
  <w:style w:type="character" w:customStyle="1" w:styleId="Heading20">
    <w:name w:val="Heading 2_"/>
    <w:basedOn w:val="DefaultParagraphFont"/>
    <w:qFormat/>
    <w:rsid w:val="0074347F"/>
    <w:rPr>
      <w:rFonts w:ascii="Arial Narrow" w:hAnsi="Arial Narrow"/>
      <w:b/>
      <w:bCs/>
      <w:sz w:val="32"/>
    </w:rPr>
  </w:style>
  <w:style w:type="character" w:customStyle="1" w:styleId="Heading40">
    <w:name w:val="Heading 4_"/>
    <w:basedOn w:val="DefaultParagraphFont"/>
    <w:qFormat/>
    <w:rsid w:val="0074347F"/>
    <w:rPr>
      <w:b/>
      <w:bCs/>
      <w:caps/>
      <w:smallCaps w:val="0"/>
      <w:vanish w:val="0"/>
    </w:rPr>
  </w:style>
  <w:style w:type="character" w:styleId="CommentReference">
    <w:name w:val="annotation reference"/>
    <w:basedOn w:val="DefaultParagraphFont"/>
    <w:uiPriority w:val="99"/>
    <w:semiHidden/>
    <w:unhideWhenUsed/>
    <w:rsid w:val="00D95623"/>
    <w:rPr>
      <w:sz w:val="16"/>
      <w:szCs w:val="16"/>
    </w:rPr>
  </w:style>
  <w:style w:type="paragraph" w:styleId="CommentText">
    <w:name w:val="annotation text"/>
    <w:basedOn w:val="Normal"/>
    <w:link w:val="CommentTextChar"/>
    <w:uiPriority w:val="99"/>
    <w:semiHidden/>
    <w:unhideWhenUsed/>
    <w:rsid w:val="00D95623"/>
    <w:rPr>
      <w:sz w:val="20"/>
      <w:szCs w:val="20"/>
    </w:rPr>
  </w:style>
  <w:style w:type="character" w:customStyle="1" w:styleId="CommentTextChar">
    <w:name w:val="Comment Text Char"/>
    <w:basedOn w:val="DefaultParagraphFont"/>
    <w:link w:val="CommentText"/>
    <w:uiPriority w:val="99"/>
    <w:semiHidden/>
    <w:rsid w:val="00D95623"/>
    <w:rPr>
      <w:sz w:val="20"/>
      <w:szCs w:val="20"/>
    </w:rPr>
  </w:style>
  <w:style w:type="paragraph" w:styleId="CommentSubject">
    <w:name w:val="annotation subject"/>
    <w:basedOn w:val="CommentText"/>
    <w:next w:val="CommentText"/>
    <w:link w:val="CommentSubjectChar"/>
    <w:uiPriority w:val="99"/>
    <w:semiHidden/>
    <w:unhideWhenUsed/>
    <w:rsid w:val="00D95623"/>
    <w:rPr>
      <w:b/>
      <w:bCs/>
    </w:rPr>
  </w:style>
  <w:style w:type="character" w:customStyle="1" w:styleId="CommentSubjectChar">
    <w:name w:val="Comment Subject Char"/>
    <w:basedOn w:val="CommentTextChar"/>
    <w:link w:val="CommentSubject"/>
    <w:uiPriority w:val="99"/>
    <w:semiHidden/>
    <w:rsid w:val="00D95623"/>
    <w:rPr>
      <w:b/>
      <w:bCs/>
      <w:sz w:val="20"/>
      <w:szCs w:val="20"/>
    </w:rPr>
  </w:style>
  <w:style w:type="table" w:customStyle="1" w:styleId="AmecFosterWheelerReportTable1">
    <w:name w:val="Amec Foster Wheeler Report Table1"/>
    <w:basedOn w:val="TableNormal"/>
    <w:uiPriority w:val="99"/>
    <w:qFormat/>
    <w:rsid w:val="007721F2"/>
    <w:rPr>
      <w:rFonts w:ascii="Arial" w:hAnsi="Arial"/>
      <w:color w:val="28272F"/>
      <w:sz w:val="20"/>
    </w:rPr>
    <w:tblPr>
      <w:tblStyleRowBandSize w:val="1"/>
      <w:tblStyleColBandSize w:val="1"/>
      <w:tblInd w:w="113" w:type="dxa"/>
      <w:tblBorders>
        <w:bottom w:val="single" w:sz="6" w:space="0" w:color="00B0B9"/>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6" w:space="0" w:color="00B0B9"/>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character" w:styleId="UnresolvedMention">
    <w:name w:val="Unresolved Mention"/>
    <w:basedOn w:val="DefaultParagraphFont"/>
    <w:uiPriority w:val="99"/>
    <w:semiHidden/>
    <w:unhideWhenUsed/>
    <w:rsid w:val="00863C2F"/>
    <w:rPr>
      <w:color w:val="808080"/>
      <w:shd w:val="clear" w:color="auto" w:fill="E6E6E6"/>
    </w:rPr>
  </w:style>
  <w:style w:type="character" w:customStyle="1" w:styleId="fontstyle01">
    <w:name w:val="fontstyle01"/>
    <w:basedOn w:val="DefaultParagraphFont"/>
    <w:rsid w:val="00905EB7"/>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533696">
      <w:bodyDiv w:val="1"/>
      <w:marLeft w:val="0"/>
      <w:marRight w:val="0"/>
      <w:marTop w:val="0"/>
      <w:marBottom w:val="0"/>
      <w:divBdr>
        <w:top w:val="none" w:sz="0" w:space="0" w:color="auto"/>
        <w:left w:val="none" w:sz="0" w:space="0" w:color="auto"/>
        <w:bottom w:val="none" w:sz="0" w:space="0" w:color="auto"/>
        <w:right w:val="none" w:sz="0" w:space="0" w:color="auto"/>
      </w:divBdr>
    </w:div>
    <w:div w:id="1095202980">
      <w:bodyDiv w:val="1"/>
      <w:marLeft w:val="0"/>
      <w:marRight w:val="0"/>
      <w:marTop w:val="0"/>
      <w:marBottom w:val="0"/>
      <w:divBdr>
        <w:top w:val="none" w:sz="0" w:space="0" w:color="auto"/>
        <w:left w:val="none" w:sz="0" w:space="0" w:color="auto"/>
        <w:bottom w:val="none" w:sz="0" w:space="0" w:color="auto"/>
        <w:right w:val="none" w:sz="0" w:space="0" w:color="auto"/>
      </w:divBdr>
    </w:div>
    <w:div w:id="1102604030">
      <w:bodyDiv w:val="1"/>
      <w:marLeft w:val="0"/>
      <w:marRight w:val="0"/>
      <w:marTop w:val="0"/>
      <w:marBottom w:val="0"/>
      <w:divBdr>
        <w:top w:val="none" w:sz="0" w:space="0" w:color="auto"/>
        <w:left w:val="none" w:sz="0" w:space="0" w:color="auto"/>
        <w:bottom w:val="none" w:sz="0" w:space="0" w:color="auto"/>
        <w:right w:val="none" w:sz="0" w:space="0" w:color="auto"/>
      </w:divBdr>
    </w:div>
    <w:div w:id="1404841203">
      <w:bodyDiv w:val="1"/>
      <w:marLeft w:val="0"/>
      <w:marRight w:val="0"/>
      <w:marTop w:val="0"/>
      <w:marBottom w:val="0"/>
      <w:divBdr>
        <w:top w:val="none" w:sz="0" w:space="0" w:color="auto"/>
        <w:left w:val="none" w:sz="0" w:space="0" w:color="auto"/>
        <w:bottom w:val="none" w:sz="0" w:space="0" w:color="auto"/>
        <w:right w:val="none" w:sz="0" w:space="0" w:color="auto"/>
      </w:divBdr>
    </w:div>
    <w:div w:id="181737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southoxon.gov.uk/EastHagbourne-NP"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magic.defra.gov.uk/MagicMap.aspx"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oxon.gov.uk/EastHagbourne-N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asthagbourne.net/parish-council/neighbourhood-pla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vironment/archives/eia/pdf/030923_sea_guidance.pdf" TargetMode="External"/></Relationships>
</file>

<file path=word/theme/theme1.xml><?xml version="1.0" encoding="utf-8"?>
<a:theme xmlns:a="http://schemas.openxmlformats.org/drawingml/2006/main" name="Office Theme">
  <a:themeElements>
    <a:clrScheme name="B+W">
      <a:dk1>
        <a:sysClr val="windowText" lastClr="000000"/>
      </a:dk1>
      <a:lt1>
        <a:srgbClr val="FFFFFF"/>
      </a:lt1>
      <a:dk2>
        <a:srgbClr val="807E92"/>
      </a:dk2>
      <a:lt2>
        <a:srgbClr val="D8D8D8"/>
      </a:lt2>
      <a:accent1>
        <a:srgbClr val="3F3F3F"/>
      </a:accent1>
      <a:accent2>
        <a:srgbClr val="D8D8D8"/>
      </a:accent2>
      <a:accent3>
        <a:srgbClr val="8A8B8D"/>
      </a:accent3>
      <a:accent4>
        <a:srgbClr val="FFFFFF"/>
      </a:accent4>
      <a:accent5>
        <a:srgbClr val="FFFFFF"/>
      </a:accent5>
      <a:accent6>
        <a:srgbClr val="FFFFFF"/>
      </a:accent6>
      <a:hlink>
        <a:srgbClr val="FFFFFF"/>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D7222-CD7C-4B40-88FB-1121D0CF1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5087</Words>
  <Characters>29001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Amec Foster Wheeler</Company>
  <LinksUpToDate>false</LinksUpToDate>
  <CharactersWithSpaces>34020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Nicholson, Sean</dc:creator>
  <cp:keywords/>
  <dc:description/>
  <cp:lastModifiedBy>Bryson, Deborah</cp:lastModifiedBy>
  <cp:revision>3</cp:revision>
  <cp:lastPrinted>2018-04-11T11:15:00Z</cp:lastPrinted>
  <dcterms:created xsi:type="dcterms:W3CDTF">2023-04-17T10:10:00Z</dcterms:created>
  <dcterms:modified xsi:type="dcterms:W3CDTF">2023-04-17T10:11:00Z</dcterms:modified>
</cp:coreProperties>
</file>